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1B_472/2019 vom 29. Oktober 2019</w:t>
      </w:r>
    </w:p>
    <w:p>
      <w:r>
        <w:t>Bundesgericht, 2019-10-29, FR</w:t>
      </w:r>
    </w:p>
    <w:p>
      <w:r>
        <w:rPr>
          <w:b/>
        </w:rPr>
        <w:t xml:space="preserve">Quelle: </w:t>
      </w:r>
      <w:r>
        <w:t>https://mcp.opencaselaw.ch/entscheid/bger_1B_472_2019</w:t>
      </w:r>
    </w:p>
    <w:p>
      <w:r>
        <w:t>FR: TF 1B_472/2019 du 29 octobre 2019</w:t>
      </w:r>
    </w:p>
    <w:p>
      <w:r>
        <w:t>IT: TF 1B_472/2019 del 29 ottobre 2019</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140 IV 74 consid. 1.3.1 p. 77). En tant qu'il a vu rejetées ses conclusions en constatation du caractère irrégulier de sa détention, le recourant a un intérêt à l'annulation de l'arrêt attaqué.</w:t>
      </w:r>
    </w:p>
    <w:p>
      <w:r>
        <w:t>Pour le surplus, le recours a été déposé en temps utile ( art. 100 al. 1 LTF ) et les conclusions qui y sont prises sont recevables ( art. 107 al. 2 LTF ).</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particulier, la motivation doit être topique, c'est-à-dire se rapporter à la question juridique tranchée par l'autorité cantonale ( ATF 123 V 335 consid. 1b p. 336; arrêt 6B_340/2019 du 1er avril 2019 consid. 2).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En outre,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3</w:t>
      </w:r>
    </w:p>
    <w:p>
      <w:r>
        <w:t>Le recourant reproche à la cour cantonale de ne pas être entrée en matière sur les arguments développés dans son acte de recours, alors qu'il prétend y avoir détaillé les motifs précis pour lesquels sa détention devait être qualifiée d'illicite (cf. mémoire de recours, p. 12).</w:t>
      </w:r>
    </w:p>
    <w:p>
      <w:r>
        <w:rPr>
          <w:b/>
        </w:rPr>
        <w:t>E. 3.1</w:t>
      </w:r>
    </w:p>
    <w:p>
      <w:r>
        <w:t>Conformément à l' art. 396 al. 1 CPP , le recours contre les décisions notifiées par écrit ou oralement est motivé et adressé par écrit, dans le délai de dix jours, à l'autorité de recours.</w:t>
      </w:r>
    </w:p>
    <w:p>
      <w:r>
        <w:t>L' art. 385 al. 1 CPP dispose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6B_991/2016 du 3 novembre 2017 consid. 4.1).</w:t>
      </w:r>
    </w:p>
    <w:p>
      <w:r>
        <w:rPr>
          <w:b/>
        </w:rPr>
        <w:t>E. 3.2</w:t>
      </w:r>
    </w:p>
    <w:p>
      <w:r>
        <w:t>La cour cantonale a estimé, sous l'angle de la recevabilité du recours, que, dans la mesure où celui-ci faisait totalement abstraction de l'ordonnance rendue le 25 juillet 2019 par le Tmc, il paraissait d'emblée irrecevable au regard des exigences de motivation ressortant de l' art. 385 al. 1 CPP (cf. arrêt entrepris, consid. 1.3 p. 5). Du reste, les griefs du recourant avaient trait pour l'essentiel à des problématiques différentes de celles qui avaient fait l'objet de la procédure menée par le Tmc, de sorte qu'elles n'étaient pas susceptibles d'être examinées en procédure de recours (cf. arrêt entrepris, consid. 2.2 p. 9).</w:t>
      </w:r>
    </w:p>
    <w:p>
      <w:r>
        <w:rPr>
          <w:b/>
        </w:rPr>
        <w:t>E. 3.3.1</w:t>
      </w:r>
    </w:p>
    <w:p>
      <w:r>
        <w:t>Dans son ordonnance du 25 juillet 2019, le Tmc avait procédé, ensuite de la demande du recourant formulée le 24 avril 2019, à un examen des surfaces individuelles à sa disposition dans les différentes cellules qu'il avait occupées depuis le début de sa détention à la prison du Bois-Mermet. L'autorité de contrôle de la détention avait ainsi constaté, en se fondant sur le rapport du Directeur de l'établissement précité, que le recourant avait disposé, déduction faite d'une surface de 1.5 m</w:t>
      </w:r>
    </w:p>
    <w:p>
      <w:r>
        <w:t>2 consacrée aux installations sanitaires, d'un espace individuel d'au moins 4 m</w:t>
      </w:r>
    </w:p>
    <w:p>
      <w:r>
        <w:t>2 dans chacune des deux cellules communes et d'au moins 6 m</w:t>
      </w:r>
    </w:p>
    <w:p>
      <w:r>
        <w:t>2 dans la cellule individuelle. Dans ces circonstances, les conditions de détention du recourant quant à la surface individuelle à disposition n'étaient pas illicites au regard des principes dégagés dans l'arrêt 1B_325/2017 du 14 novembre 2017 qui concernait en particulier la prison du Bois-Mermet.</w:t>
      </w:r>
    </w:p>
    <w:p>
      <w:r>
        <w:t>Cela étant, le Tmc avait estimé, toujours en référence à l'arrêt 1B_325/2017 précité, que la séparation, par un rideau ignifuge, des sanitaires du reste de l'une des cellules communes, de même que les difficultés liées à l'aération, au chauffage et à l'isolation, dont le recourant ne s'était du reste pas plaint, ne constituaient pas en elles-mêmes une violation de l' art. 3 CEDH , mais uniquement des facteurs aggravants dans l'hypothèse, non réalisée en l'espèce, où l'espace individuel en cellule était insuffisant (cf. ordonnance du 25 juillet 2019, p. 5).</w:t>
      </w:r>
    </w:p>
    <w:p>
      <w:r>
        <w:rPr>
          <w:b/>
        </w:rPr>
        <w:t>E. 3.3.2</w:t>
      </w:r>
    </w:p>
    <w:p>
      <w:r>
        <w:t>Dans son mémoire de recours adressé le 4 août 2019 à la cour cantonale (cf. dossier cantonal, P. 8), le recourant ne s'en prend nullement aux développements contenus dans l'ordonnance précitée relativement au caractère suffisant de la surface individuelle à sa disposition, l'ordonnance en cause n'étant même pas évoquée. Il se borne à y exposer ses conditions de détention d'une manière générale et à énumérer certains problèmes (absence d'échelle pour accéder à son lit, fréquence de l'accès aux douches et du changement de literie, insuffisance du mobilier de la cellule, composition des repas, restriction des contacts avec l'extérieur) - qu'il avait au demeurant renoncé à faire valoir jusqu'alors (cf. son courrier du 3 juin 2019; dossier cantonal, P. 7) -, sans tenter de démontrer en quoi, nonobstant l'espace individuel jugé suffisant par l'autorité du contrôle de la détention, ces difficultés alléguées seraient en elles-mêmes constitutives d'une violation de l' art. 3 CEDH ou de l' art. 7 Cst.</w:t>
      </w:r>
    </w:p>
    <w:p>
      <w:r>
        <w:t>Dans ce contexte, on ne voit pas que la cour cantonale aurait procédé à une interprétation arbitraire de son acte de recours en considérant que celui-ci ne répondait pas aux exigences de l' art. 385 al. 1 CPP , de sorte qu'il n'y avait pas lieu d'entrer en matière.</w:t>
      </w:r>
    </w:p>
    <w:p>
      <w:r>
        <w:rPr>
          <w:b/>
        </w:rPr>
        <w:t>E. 3.4</w:t>
      </w:r>
    </w:p>
    <w:p>
      <w:r>
        <w:t>Pour le surplus, le recourant n'invoque pas une violation de son droit d'être entendu, pas plus qu'il ne prétend qu'un délai supplémentaire au sens de l' art. 385 al. 2 CPP aurait dû lui être accordé. Il ne conteste pas non plus l'appréciation de la cour cantonale à cet égard, qui a estimé, en référence à la jurisprudence (cf. arrêt 6B_120/2016 du 20 juin 2016 consid. 3.1), que la disposition précitée ne devait pas servir à pallier un défaut de motivation dans l'acte initial.</w:t>
      </w:r>
    </w:p>
    <w:p>
      <w:r>
        <w:rPr>
          <w:b/>
        </w:rPr>
        <w:t>E. 4</w:t>
      </w:r>
    </w:p>
    <w:p>
      <w:r>
        <w:t>Les autres développements du recourant consistent principalement en une libre description de ses conditions de détention qu'il allègue être contraires à l' art. 3 CEDH , de même qu'aux art. 8 CEDH et 235 CPP, ainsi qu'aux principes dégagés dans l'arrêt 1B_325/2017 du 14 novembre 2017, en s'écartant largement des faits retenus par la cour cantonale et sans critiquer spécifiquement la motivation de l'arrêt entrepris, ni celle de l'ordonnance du Tmc du 25 juillet 2019, à laquelle la cour cantonale se réfère s'agissant des points qui y sont abordés. Outre que de tels développements sont irrecevables sous l'angle des art. 42 al. 2 et 106 al. 2 LTF, l'argumentation relève du fond et excède donc l'objet du litige, compte tenu des motifs exposés ci-dessus relativement à l'irrecevabilité du recours cantonal (cf. ATF 123 V 335 précité).</w:t>
      </w:r>
    </w:p>
    <w:p>
      <w:r>
        <w:rPr>
          <w:b/>
        </w:rPr>
        <w:t>E. 5</w:t>
      </w:r>
    </w:p>
    <w:p>
      <w:r>
        <w:t>Il s'ensuit que le recours doit être rejeté dans la mesure de sa recevabilité. En l'absence de chances de succès des conclusions du recours, la requête d'assistance judiciaire doit être rejetée ( art. 64 al. 1 LTF ). Compte tenu néanmoins de la situation du recourant, qui est indigent et qui agit seul, le présent arrêt sera exceptionnellement rendu sans frais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