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471/2019 vom 27. September 2019</w:t>
      </w:r>
    </w:p>
    <w:p>
      <w:r>
        <w:t>Bundesgericht, 2019-09-27, DE</w:t>
      </w:r>
    </w:p>
    <w:p>
      <w:r>
        <w:rPr>
          <w:b/>
        </w:rPr>
        <w:t xml:space="preserve">Quelle: </w:t>
      </w:r>
      <w:r>
        <w:t>https://mcp.opencaselaw.ch/entscheid/bger_1B_471_2019</w:t>
      </w:r>
    </w:p>
    <w:p>
      <w:r>
        <w:t>FR: TF 1B 471/2019 du 27 septembre 2019</w:t>
      </w:r>
    </w:p>
    <w:p>
      <w:r>
        <w:t>IT: TF 1B 471/2019 del 27 settembre 2019</w:t>
      </w:r>
    </w:p>
    <w:p>
      <w:pPr>
        <w:pStyle w:val="Heading2"/>
      </w:pPr>
      <w:r>
        <w:t>Regeste</w:t>
      </w:r>
    </w:p>
    <w:p>
      <w:r>
        <w:t>Strafverfahren; Ausstand | Zuständigkeitsfragen, Garantie des Wohnsitzrichters und des v...</w:t>
      </w:r>
    </w:p>
    <w:p>
      <w:pPr>
        <w:pStyle w:val="Heading2"/>
      </w:pPr>
      <w:r>
        <w:t>Erwägungen</w:t>
      </w:r>
    </w:p>
    <w:p>
      <w:r>
        <w:rPr>
          <w:b/>
        </w:rPr>
        <w:t>E. 1</w:t>
      </w:r>
    </w:p>
    <w:p>
      <w:r>
        <w:t>Die Staatsanwaltschaft II des Kantons Zürich führt gegen A.________ eine Strafuntersuchung wegen Menschenhandels etc. A.________ befindet sich seit dem 28. Februar 2017 in Untersuchungshaft. Am 25. April 2019 stellte A.________ ein Gesuch um Ausstand der untersuchungsführenden Staatsanwältin Runa Meier. Die III. Strafkammer des Obergerichts des Kantons Zürich wies das Ausstandsgesuch mit Beschluss vom 7. August 2019 ab, soweit sie darauf eintrat.</w:t>
      </w:r>
    </w:p>
    <w:p>
      <w:r>
        <w:rPr>
          <w:b/>
        </w:rPr>
        <w:t>E. 2</w:t>
      </w:r>
    </w:p>
    <w:p>
      <w:r>
        <w:t>A.________ führt mit Eingabe vom 9. September 2019 (Postaufgabe 24. September 2019)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beanstandet in weitschweifiger Weise das Verhalten der von ihm abgelehnten Staatsanwältin. Mit den Ausführungen der III. Strafkammer zu seinem Ausstandsgesuch setzt er sich indessen nicht auseinander. Er vermag daher nicht aufzuzeigen, dass die III. Strafkammer bei der Behandlung seines Ausstandsgesuchs rechtswidrig gehandelt hätte. Aus seiner nicht sachbezogenen Beschwerde ergibt sich nicht nachvollziehbar,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Beiordnung eines (weiteren) Rechtsbeistandes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