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1B_471/2016 vom 14. Dezember 2016</w:t>
      </w:r>
    </w:p>
    <w:p>
      <w:r>
        <w:t>Bundesgericht, 2016-12-14, DE</w:t>
      </w:r>
    </w:p>
    <w:p>
      <w:r>
        <w:rPr>
          <w:b/>
        </w:rPr>
        <w:t xml:space="preserve">Quelle: </w:t>
      </w:r>
      <w:r>
        <w:t>https://mcp.opencaselaw.ch/entscheid/bger_1B_471_2016</w:t>
      </w:r>
    </w:p>
    <w:p>
      <w:r>
        <w:t>FR: TF 1B_471/2016 du 14 décembre 2016</w:t>
      </w:r>
    </w:p>
    <w:p>
      <w:r>
        <w:t>IT: TF 1B_471/2016 del 14 dicembre 2016</w:t>
      </w:r>
    </w:p>
    <w:p>
      <w:pPr>
        <w:pStyle w:val="Heading2"/>
      </w:pPr>
      <w:r>
        <w:t>Erwägungen</w:t>
      </w:r>
    </w:p>
    <w:p>
      <w:r>
        <w:rPr>
          <w:b/>
        </w:rPr>
        <w:t>E. 1</w:t>
      </w:r>
    </w:p>
    <w:p>
      <w:r>
        <w:t>Der Beschwerdeführer ist der Auffassung, das Bundesgericht habe vor dem Entscheid über die Beschwerde einen "begründeten Richterzuteilungsentscheid zu eröffnen".</w:t>
      </w:r>
    </w:p>
    <w:p>
      <w:r>
        <w:t>Sowohl auf der offiziellen Website des Bundesgerichts ( www.bger.ch) als auch im Staatskalender ( www.staatskalender.admin.ch) sind die aktiven Richter und Gerichtsschreiber sowie die Zusammensetzung der Spruchkörper aufgeführt. Es wäre dem Beschwerdeführer somit möglich und zumutbar gewesen, allfällige Ablehnungsgründe gegen einzelne für die Beurteilung seiner Beschwerde in Frage kommende Gerichtspersonen bereits mit der Beschwerdeerhebung geltend zu machen. Ein Ablehnungsgesuch nach Ablauf der Beschwerdefrist wäre dementsprechend von vornherein verspätet ( BGE 134 I 20 E. 4.3.1 mit Hinweisen). Es besteht kein Anlass, einen "Richterzuteilungsentscheid" zu erlassen.</w:t>
      </w:r>
    </w:p>
    <w:p>
      <w:r>
        <w:rPr>
          <w:b/>
        </w:rPr>
        <w:t>E. 2.1</w:t>
      </w:r>
    </w:p>
    <w:p>
      <w:r>
        <w:t>Angefochten ist die Verfügung des Appellationsgerichtspräsidenten in einer Strafsache; dagegen ist die Beschwerde in Strafsachen zulässig ( Art. 78 Abs. 1 BGG ). Der angefochtene Entscheid beinhaltet ganz unterschiedliche Punkte: er überweist Eingaben des Beschwerdeführers zuständigkeitshalber ans Strafgericht, weist das Sistierungsgesuch des Beschwerdeführers ab, stellt Eingaben des Beschwerdeführers und eines Mitbeschuldigten den jeweiligen Gegenparteien bzw. Mitbeschuldigten zur Kenntnisnahme zu und orientiert über bzw. regelt den weiteren Gang des Berufungsverfahrens. Keine dieser Regelungen hat verfahrensabschliessenden Charakter, es handelt sich mithin um einen Zwischenentscheid im Sinn von Art. 93 Abs. 1 BGG . Gegen einen solchen ist die Beschwerde zulässig, wenn er einen nicht wiedergutzumachenden Nachteil rechtlicher Natur ( BGE 133 IV 139 E. 4) bewirken kann (lit. a) oder wenn die Gutheissung der Beschwerde sofort einen Endentscheid herbeiführen und damit einen bedeutenden Aufwand an Zeit und Kosten für ein weitläufiges Beweisverfahren ersparen würde (lit. b). Letztere Voraussetzung fällt vorliegend von vornherein ausser Betracht. Es ist Sache des Beschwerdeführers, nach Art. 42 Abs. 2 BGG darzulegen, dass die Sachurteilsvoraussetzungen erfüllt sind, soweit es nicht offensichtlich ist ( BGE 134 II 45 E. 2.2.3; 133 II 249 E. 1.1 ; 138 I 154 , nicht publ. E. 1.2).</w:t>
      </w:r>
    </w:p>
    <w:p>
      <w:r>
        <w:rPr>
          <w:b/>
        </w:rPr>
        <w:t>E. 2.2</w:t>
      </w:r>
    </w:p>
    <w:p>
      <w:r>
        <w:t>Der Beschwerdeführer erhebt in seiner umfangreichen Beschwerdeschrift zwar zahlreiche Einwände gegen die Führung des Berufungsverfahrens durch den Appellationsgerichtspräsidenten und führt eine ganze Reihe von Fehlern an, die dem Bundesgericht bei der Behandlung seiner früheren Beschwerden unterlaufen sein sollen. Er begründet indessen nicht oder jedenfalls nicht in nachvollziehbarer Weise, inwiefern ihm durch den angefochtenen Zwischenentscheid ein Nachteil rechtlicher Natur droht, der durch für ihn günstige Entscheidungen des Appellationsgerichts nicht behoben werden könnten. Das ist auch nicht ersichtlich. Auf die Beschwerde ist im vereinfachten Verfahren nach Art. 108 Abs. 1 BGG nicht einzutreten.</w:t>
      </w:r>
    </w:p>
    <w:p>
      <w:r>
        <w:rPr>
          <w:b/>
        </w:rPr>
        <w:t>E. 3</w:t>
      </w:r>
    </w:p>
    <w:p>
      <w:r>
        <w:t>Bei diesem Ausgang des Verfahrens trägt der Beschwerdeführer die Kosten ( Art. 66 Abs. 1 BGG ). Die Unschuldsvermutung steht der Kostenauflage, entgegen der Auffassung des Beschwerdeführers, nicht entgegen.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