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470/2016 vom 16. Januar 2017</w:t>
      </w:r>
    </w:p>
    <w:p>
      <w:r>
        <w:t>Bundesgericht, 2017-01-16, FR</w:t>
      </w:r>
    </w:p>
    <w:p>
      <w:r>
        <w:rPr>
          <w:b/>
        </w:rPr>
        <w:t xml:space="preserve">Quelle: </w:t>
      </w:r>
      <w:r>
        <w:t>https://mcp.opencaselaw.ch/entscheid/bger_1B_470_2016</w:t>
      </w:r>
    </w:p>
    <w:p>
      <w:r>
        <w:t>FR: TF 1B 470/2016 du 16 janvier 2017</w:t>
      </w:r>
    </w:p>
    <w:p>
      <w:r>
        <w:t>IT: TF 1B 470/2016 del 16 gennaio 2017</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fait grief à l'instance précédente d'avoir révoqué les mesures de substitution prononcées le 21 juin 2016 et ordonné sa mise en détention provisoire en violation des art. 221 et 237 CPP .</w:t>
      </w:r>
    </w:p>
    <w:p>
      <w:r>
        <w:rPr>
          <w:b/>
        </w:rPr>
        <w:t>E. 2.1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Conformément à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 art. 237 al. 5 CPP (cf. également Alexis Schmocker, Commentaire romand CPP, 2011, n. 16 a d art. 237 CPP ).</w:t>
      </w:r>
    </w:p>
    <w:p>
      <w:r>
        <w:rPr>
          <w:b/>
        </w:rPr>
        <w:t>E. 2.2</w:t>
      </w:r>
    </w:p>
    <w:p>
      <w:r>
        <w:t>En l'espèce, la Cour de justice a confirmé le bien-fondé de la mise en détention provisoire. Elle a tout d'abord constaté que le recourant n'avait pas respecté les mesures de substitution ordonnées en juin 2016. Sur les 61 jours comptabilisés par la Fondation du Levant, le recourant s'était permis 22 jours de sorties non autorisées durant lesquelles il avait eu des contacts répétés avec son ex-compagne et consommé des stupéfiants, malgré la mise en garde du Ministère public. L'instance précédente a par ailleurs relevé qu'en 2012, le recourant avait déjà été incapable d'exécuter régulièrement le TIG auquel il avait été soumis à titre de mesure de substitution à la détention provisoire, alors même qu'il avait été averti d'une possible réincarcération. Aux yeux de l'instance précédente, les mesures ordonnées en juin 2016 ne permettaient pas de pallier de manière efficace le risque de réitération présenté par le recourant. Celui-ci avait d'ailleurs déjà concrétisé ce risque dans le cadre de cette procédure puisqu'à chaque fois qu'il avait été remis en liberté, avec ou sans mesure de substitution, il avait commis de nouvelles infractions, qui plus est graves s'agissant notamment de brigandage, lésions corporelles et mise en danger de la vie d'autrui. Elle a estimé que le recourant n'avait pris d'aucune manière la mesure ni de ses actes, ni des obligations qui lui étaient imposées ni des conséquences des violations des mesures, n'hésitant pas à considérer le centre du Levant comme un hôtel, à consommer du cannabis avec ses copains et à fréquenter régulièrement sa copine. Le recourant conteste cette appréciation. Il se prévaut du fait que le sentiment de frustration et d'irritabilité qui l'a amené à consommer à nouveau des toxiques et à commettre certaines infractions aurait disparu dès lors qu'il ne vivrait plus avec la mère de son fils et qu'il aurait entrepris un traitement à la Fondation du Levant. Par ailleurs, il fait également valoir que son traitement de 3 mois auprès de cette fondation se serait révélé positif puisqu'il n'aurait plus consommé d'alcool et de produit stupéfiant, ni commis de nouvelles infractions, hormis quelques consommations épisodiques de cannabis. Il relève en outre que les congés injustifiés auraient tous été annoncés à l'avance à la fondation, qu'il serait toujours resté en contact avec ses référents de cette institution et que ses rencontres avec son ex-compagne   auraient uniquement eu pour but de lui permettre de voir son fils. Les motifs invoqués par le recourant ne permettent toutefois pas de remettre en cause l'appréciation de l'instance précédente. Au vu des précédentes condamnations du recourant - notamment pour des actes de violence - et des nombreuses infractions qui lui sont reprochées dans la présente procédure pénale, le risque de récidive apparaît important. L'expert psychiatre a d'ailleurs confirmé en février 2016 que, compte tenu de la personnalité de l'intéressé, il existait un risque qu'il commette de nouvelles infractions. Dans son recours, le prévenu conteste certes les infractions qui lui sont reprochées en 2015 (vols; brigandage et extorsion et chantage; lésions corporelles, mise en danger de la vie d'autrui et menaces); il admet toutefois avoir consommé à plusieurs reprises du cannabis lors de ses sorties non autorisées. Or cet élément n'est pas négligeable, l'expert ayant retenu que les précédentes infractions avaient précisément été commises sous l'influence de l'alcool et/ou du cannabis. Il apparaît en l'occurrence que les mesures de substitution ordonnées en juin 2016 ne déploient pas les effets escomptés, le recourant étant incapable de les respecter. Au vu de ces éléments, l'instance précédente pouvait à juste titre considérer que lesdites mesures, tout comme le suivi psychothérapeutique que le recourant souhaitait suivre auprès de la Fondation du Levant, n'étaient pas aptes à pallier le risque de récidive. Le fait qu'il n'aurait pas commis de nouvelles infractions - hormis sa consommation de drogue - depuis sa libération en août 2016 n'est pas susceptible de modifier cette appréciation. L'instance précédente n'a donc pas violé le droit fédéral en confirmant la révocation des mesures de substitution ordonnées en juin 2016.</w:t>
      </w:r>
    </w:p>
    <w:p>
      <w:r>
        <w:rPr>
          <w:b/>
        </w:rPr>
        <w:t>E. 3</w:t>
      </w:r>
    </w:p>
    <w:p>
      <w:r>
        <w:t>Il s'ensuit que le recours doit être rejeté. Dès lors que le recourant est dans le besoin et que ses conclusions n'étaient pas d'emblée vouées à l'échec, l'assistance judiciaire doit lui être accordée ( art. 64 al. 1 LTF ). Il y a lieu de désigner Me Gabriel Sémah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