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1B_46/2016 vom 29. April 2016</w:t>
      </w:r>
    </w:p>
    <w:p>
      <w:r>
        <w:t>Bundesgericht, 2016-04-29, FR</w:t>
      </w:r>
    </w:p>
    <w:p>
      <w:r>
        <w:rPr>
          <w:b/>
        </w:rPr>
        <w:t xml:space="preserve">Quelle: </w:t>
      </w:r>
      <w:r>
        <w:t>https://mcp.opencaselaw.ch/entscheid/bger_1B_46_2016</w:t>
      </w:r>
    </w:p>
    <w:p>
      <w:r>
        <w:t>FR: TF 1B_46/2016 du 29 avril 2016</w:t>
      </w:r>
    </w:p>
    <w:p>
      <w:r>
        <w:t>IT: TF 1B_46/2016 del 29 aprile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Les recourantes, en qualité de tiers dont des valeurs ont été séquestrées, et dont la demande de récusation a été rejetée, ont qualité pour recourir dans la mesure où le comportement reproché au Procureur intimé est directement en lien avec la gestion des avoirs séquestrés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Les faits nouveaux (et les pièces y relatives) que fait valoir le Procureur intimé ne ressortent pas de l'arrêt attaqué et sont irrecevables devant le Tribunal fédéral (cf. art. 99 al. 1 LTF ).</w:t>
      </w:r>
    </w:p>
    <w:p>
      <w:r>
        <w:rPr>
          <w:b/>
        </w:rPr>
        <w:t>E. 3</w:t>
      </w:r>
    </w:p>
    <w:p>
      <w:r>
        <w:t>Invoquant les art. 30 al. 1 Cst. , 6 § 1 CEDH et 56 let. f CPP, les recourantes reprochent au Procureur intimé d'avoir tenté d'obtenir la coopération au séquestre, en menaçant de mettre en prévention A.________. L'appel téléphonique du 18 juin 2015 constituerait ainsi une violation manifeste du devoir de réserve du magistrat et un procédé déloyal, justifiant sa récusation.</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s.; 138 IV 142 consid. 2.1 p. 144 et les arrêts cités).</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3.2</w:t>
      </w:r>
    </w:p>
    <w:p>
      <w:r>
        <w:t>En l'espèce, il ne ressort pas du dossier qu'avant l'appel téléphonique du 18 juin 2015, le Procureur intimé aurait manifesté une quelconque animosité à l'encontre des recourantes, qu'il aurait pris des décisions erronées à leur détriment et que les échanges n'auraient pas été courtois. A cet égard, les recourantes se contentent de mentionner sommairement que le Procureur n'a pas répondu à leurs réquisitions de preuve, sans exposer ni la date du dépôt de celles-ci ni leur contenu. Fût-elle recevable et conforme à l'obligation de motivation ( art. 42 al. 2 LTF ), cette critique serait écartée dans la mesure où la procédure de récusation n'a pas pour objet de permettre aux parties de contester la manière dont est menée l'instruction ( ATF 138 IV 142 consid. 2.3 p. 146). Il appartient au juge du fond et, le cas échéant, aux juridictions de recours compétentes de juger de l'opportunité des moyens de preuve requis. Il en va de même du fait allégué par les recourantes que le Procureur a séquestré, le 10 novembre 2014, l'immeuble sis au 17 rue xxx, propriété de D.________. Même s'il était recevable (ce fait ne ressort pas de l'état de fait de l'arrêt attaqué), cet élément, mesure de contrainte motivée, ne permettrait pas de prouver la partialité du magistrat, ce d'autant moins que ledit séquestre n'a pas été contesté.</w:t>
      </w:r>
    </w:p>
    <w:p>
      <w:r>
        <w:t>Ainsi, s'agissant du contexte antérieur au 18 juin 2015, il apparaît plutôt qu'en se montrant ouvert à une éventuelle levée des séquestres en vigueur (moyennant certaines conditions), le Procureur intimé a privilégié, au lieu de la contrainte, une solution négociée en laissant une ample marge de manoeuvre aux recourantes; ce faisant, il s'est montré souple. Malgré cela, aucune solution n'a été trouvée permettant de mettre sous main de justice certains loyers dont la Cour de justice avait d'ores et déjà admis qu'ils pouvaient être d'origine illicite.</w:t>
      </w:r>
    </w:p>
    <w:p>
      <w:r>
        <w:t>Ainsi c'est à bon droit que l'instance précédente a considéré que l'appel téléphonique litigieux constituait bien plus un événement isolé que l'aboutissement d'une suite d'actions partiales au détriment des recourantes.</w:t>
      </w:r>
    </w:p>
    <w:p>
      <w:r>
        <w:t>S'agissant de l'appel téléphonique du 18 juin 2015, les recourantes relèvent à bon droit qu'il n'y a pas lieu de deviner la disposition interne du magistrat quand il a passé l'appel téléphonique litigieux et a laissé le message précité à la secrétaire. Il s'agit plutôt d'examiner si les circonstances constatées objectivement donnent une apparence de prévention. Or, en l'espèce, l'appel téléphonique faisait suite à un courrier du conseil des recourantes dans lequel celles-ci refusaient de se soumettre à l'ordre du Procureur du 5 juin 2015 d'ouvrir dans les 10 jours un compte séparé où les loyers devaient être versés. En téléphonant à l'avocat le 18 juin 2015, le magistrat a ainsi octroyé un délai supplémentaire aux recourantes pour s'exécuter, avant une mise en prévention (qui est survenue 15 jours plus tard, le 3 juillet 2015). La chronologie objective des événements ne permet pas de fonder une demande de récusation, ce d'autant moins que les recourantes ne soutiennent pas que la mise en prévention de A.________ ne serait pas fondée. En effet, le procureur est libre de mettre une personne en prévention ( art. 309 al. 3 CPP ), tout comme il a la possibilité de procéder à un séquestre de comptes bancaires, dans le respect des conditions prévues par la loi ( art. 263 ss CPP ).</w:t>
      </w:r>
    </w:p>
    <w:p>
      <w:r>
        <w:t>La démarche du magistrat est cependant inadéquate dans la mesure où les recourants l'ont perçue comme étant une menace. Le fait d'avoir mentionné une potentielle mise en prévention et de l'avoir mise en relation avec un séquestre est peu judicieux. La question n'est cependant pas, comme le sous-entendent les recourantes, de savoir si le comportement du Procureur est justifié, mais bien d'établir s'il est de nature à faire suspecter un parti pris personnel à l'encontre des recourantes. Or compte tenu du contexte dans lequel la procédure s'est déroulée jusqu'à la demande de récusation, la manière certes critiquable dont a procédé le représentant du ministère public le 18 juin 2015 n'est pas susceptible, à elle seule, de remettre en cause sa capacité de magistrat professionnel à instruire de manière impartiale sur les faits dénoncés dans la présente cause.</w:t>
      </w:r>
    </w:p>
    <w:p>
      <w:r>
        <w:t>A part l'appel litigieux, les recourants reprochent au Procureur d'avoir renoncé à ordonner un séquestre en juin 2015 et de l'avoir prononcé seulement en décembre 2015, alors qu'il prétendait que la cause était urgente. Ils lui font aussi grief d'avoir mis A.________ en prévention "répondant ainsi aux souhaits répétés par le plaignant". Ces éléments sont cependant postérieurs à la demande de récusation et ne peuvent ainsi être des éléments attestant de la prévention du magistrat. Quoi qu'il en soit, même s'ils avaient été antérieurs, ils relèvent de la manière dont est conduite l'instruction et ne sauraient être assimilés à un parti pris en défaveur des recourantes ( ATF 138 IV 142 consid. 2.3 p. 146).</w:t>
      </w:r>
    </w:p>
    <w:p>
      <w:r>
        <w:rPr>
          <w:b/>
        </w:rPr>
        <w:t>E. 3.3</w:t>
      </w:r>
    </w:p>
    <w:p>
      <w:r>
        <w:t>Enfin, les recourantes reprochent au Procureur Knupfer d'avoir mentionné une atteinte à son honneur dans ses observations devant la cour cantonale: le magistrat ne représenterait ainsi plus seulement l'Etat mais aussi ses propres intérêts, ce qui constituerait un motif de récusation.</w:t>
      </w:r>
    </w:p>
    <w:p>
      <w:r>
        <w:t>Outre le fait qu'il soit postérieur au dépôt de la requête de récusation, cet élément intervient en réponse à ladite requête, formulée en des termes que la cour cantonale a qualifiés de "vifs, voire incisifs". Les recourantes ne contestent pas cette qualification. Dans ce contexte, l'utilisation de termes forts par le magistrat intimé ne dénote pas que le conflit a pris une tournure personnelle et n'apparaît pas objectivement de nature à entacher l'impartialité du magistrat professionnel. En effet, la jurisprudence n'admet que restrictivement un cas de récusation lorsqu'un magistrat est pris à partie, pénalement ou non. Le fait qu'une partie s'en prenne violemment à un juge trahit certainement l'inimitié que celle-là nourrit à l'endroit de celui-ci, mais cela ne permet pas de présumer qu'un tel sentiment soit réciproque. Ces attaques n'ont pas, d'un point de vue objectif, pour effet de faire naître une apparence de prévention du magistrat en cause envers l'auteur de l'atteinte; en décider autrement reviendrait à ouvrir aux quérulents la possibilité d'influencer la composition du tribunal en tenant des propos insultants vis-à-vis du juge dont ils récusent la participation ( ATF 134 I 20 consid. 4.3.2 p. 22).</w:t>
      </w:r>
    </w:p>
    <w:p>
      <w:r>
        <w:rPr>
          <w:b/>
        </w:rPr>
        <w:t>E. 3.4</w:t>
      </w:r>
    </w:p>
    <w:p>
      <w:r>
        <w:t>En définitive, aucun des motifs avancés par les recourantes, pris séparément ou dans leur ensemble, ne permet objectivement de retenir une apparence de prévention du Procureur intimé. Dans ces conditions, il y a lieu de constater que la garantie du juge impartial a été respectée, de sorte que c'est à bon droit que la Cour de justice a rejeté la demande de récusation.</w:t>
      </w:r>
    </w:p>
    <w:p>
      <w:r>
        <w:rPr>
          <w:b/>
        </w:rPr>
        <w:t>E. 4</w:t>
      </w:r>
    </w:p>
    <w:p>
      <w:r>
        <w:t>Le recours est par conséquent rejeté, aux frais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