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469/2019 vom 21. November 2019</w:t>
      </w:r>
    </w:p>
    <w:p>
      <w:r>
        <w:t>Bundesgericht, 2019-11-21, DE</w:t>
      </w:r>
    </w:p>
    <w:p>
      <w:r>
        <w:rPr>
          <w:b/>
        </w:rPr>
        <w:t xml:space="preserve">Quelle: </w:t>
      </w:r>
      <w:r>
        <w:t>https://mcp.opencaselaw.ch/entscheid/bger_1B_469_2019</w:t>
      </w:r>
    </w:p>
    <w:p>
      <w:r>
        <w:t>FR: TF 1B 469/2019 du 21 novembre 2019</w:t>
      </w:r>
    </w:p>
    <w:p>
      <w:r>
        <w:t>IT: TF 1B 469/2019 del 21 novembre 2019</w:t>
      </w:r>
    </w:p>
    <w:p>
      <w:pPr>
        <w:pStyle w:val="Heading2"/>
      </w:pPr>
      <w:r>
        <w:t>Regeste</w:t>
      </w:r>
    </w:p>
    <w:p>
      <w:r>
        <w:t>Strafverfahren; Ausstandsbegehren | Zuständigkeitsfragen, Garantie des Wohnsitzrichters und des v...</w:t>
      </w:r>
    </w:p>
    <w:p>
      <w:pPr>
        <w:pStyle w:val="Heading2"/>
      </w:pPr>
      <w:r>
        <w:t>Erwägungen</w:t>
      </w:r>
    </w:p>
    <w:p>
      <w:r>
        <w:rPr>
          <w:b/>
        </w:rPr>
        <w:t>E. 1.1</w:t>
      </w:r>
    </w:p>
    <w:p>
      <w:r>
        <w:t>Die Vorinstanz hat gemäss Art. 59 Abs. 1 lit. a i.V.m. Art. 380 StPO als einzige kantonale Instanz entschieden. Die Beschwerde ist somit nach Art. 80 Abs. 2 BGG zulässig. Die Beschwerdeführerin ist als Gesuchstellerin gemäss Art. 81 Abs. 1 lit. a und b Ziff. 1 BGG zur Beschwerde befugt. Die angefochtene Verfügung stellt einen Zwischenentscheid über ein Ausstandsbegehren dar. Dagegen ist die Beschwerde gemäss Art. 92 Abs. 1 BGG zulässig. Die weiteren Sachurteilsvoraussetzungen geben zu keinen Bemerkungen Anlass, weshalb grundsätzlich auf die Beschwerde einzutreten ist.</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mit Hinweisen). Nach bundesgerichtlicher Rechtsprechung besteht kein Anspruch der Parteien, zur rechtlichen Würdigung der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w:t>
      </w:r>
    </w:p>
    <w:p>
      <w:r>
        <w:rPr>
          <w:b/>
        </w:rPr>
        <w:t>E. 2.1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Praxis des Bundesgerichts sind Ausstandsgründe in der Regel innert etwa einer Woche geltend zu machen; ein Zuwarten während mehrerer Wochen ist hingegen nicht zulässig (Urteil 1B_149/2019 vom 3. September 2019 E. 2.3 mit Hinweisen).</w:t>
      </w:r>
    </w:p>
    <w:p>
      <w:r>
        <w:rPr>
          <w:b/>
        </w:rPr>
        <w:t>E. 2.2</w:t>
      </w:r>
    </w:p>
    <w:p>
      <w:r>
        <w:t>Das Bundesgericht hat von Amtes wegen zu prüfen, ob das Ausstandsgesuch den Anforderungen von Art. 58 Abs. 1 StPO genügt (vgl. E. 1.2 hiervor). Dazu gehört gemäss der genannten Bestimmung auch die Rechtzeitigkeit des Gesuchs. Obschon sich die Parteien vorliegend nicht mit dieser Frage auseinandergesetzt haben, ist das Ausstandsbegehren auch unter dem Gesichtspunkt der Rechtzeitigkeit zu prüfen.</w:t>
      </w:r>
    </w:p>
    <w:p>
      <w:r>
        <w:rPr>
          <w:b/>
        </w:rPr>
        <w:t>E. 2.3</w:t>
      </w:r>
    </w:p>
    <w:p>
      <w:r>
        <w:t>Der Beschwerdeführerin wurde die voraussichtliche Zusammensetzung des Spruchkörpers, der ihre Berufung beurteilen würde, mit Verfügung vom 13. März 2019 im Rahmen der Vorladung zur Berufungsverhandlung mitgeteilt. Die Parteizugehörigkeit der betreffenden Richterinnen und Richter lässt sich einem allgemein zugänglichen, auch auf dem Internet publizierten Dokument "Interessenbindungen" entnehmen und war somit für die Beschwerdeführerin sofort nach Erhalt der Vorladung erkennbar. Die von ihr ebenfalls thematisierten öffentlichen Äusserungen des Beschwerdegegners 1 datieren sodann aus dem Jahr 2017 und die Beschwerdeführerin macht nicht geltend, von diesen erst kurz vor der Berufungsverhandlung Kenntnis erlangt zu haben; sie weist im Gegenteil in ihrer Beschwerdeschrift selbst darauf hin, es sei "notorisch bekannt", das die SVP und die SD sich damit profilierten, dezidiert hart gegenüber Sans-Papiers aufzutreten. Sie wäre nach der erwähnten Rechtsprechung folglich gehalten gewesen, ohne Verzug, d.h. kurz nach Erhalt der Vorladung den Ausstand der Beschwerdegegner zu verlangen und nicht bis zur Eröffnung der Berufungsverhandlung am 21. Mai 2019 zuzuwarten. Indem sie über zwei Monate zugewartet und erst anlässlich der Berufungsverhandlung tätig wurde, hat sie ihren Anspruch, ein Ausstandsbegehren zu stellen, verwirkt.</w:t>
      </w:r>
    </w:p>
    <w:p>
      <w:r>
        <w:rPr>
          <w:b/>
        </w:rPr>
        <w:t>E. 2.4</w:t>
      </w:r>
    </w:p>
    <w:p>
      <w:r>
        <w:t>Damit erfolgte das am 21. Mai 2019 gestellte Ausstandsbegehren verspätet. Es erübrigt sich folglich, auf die inhaltliche Begründung des angefochtenen Beschlusses einzugehen.</w:t>
      </w:r>
    </w:p>
    <w:p>
      <w:r>
        <w:rPr>
          <w:b/>
        </w:rPr>
        <w:t>E. 3</w:t>
      </w:r>
    </w:p>
    <w:p>
      <w:r>
        <w:t>Demnach erweist sich die Beschwerde als unbegründet und ist abzuweisen. Bei diesem Verfahrensausgang sind die Kosten der Beschwerdeführerin aufzuerlegen ( Art. 66 Abs. 1 BGG ). Sie hat zwar ein Gesuch um unentgeltliche Rechtspflege gestellt, welches jedoch abzuweisen ist, da die Beschwerde aussichtslos war ( Art. 64 Abs. 1 und 2 BGG ). Der finanziellen Lage der Beschwerdeführerin ist indessen durch reduzierte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