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1B_467/2018 vom 22. Oktober 2018</w:t>
      </w:r>
    </w:p>
    <w:p>
      <w:r>
        <w:t>Bundesgericht, 2018-10-22, DE</w:t>
      </w:r>
    </w:p>
    <w:p>
      <w:r>
        <w:rPr>
          <w:b/>
        </w:rPr>
        <w:t xml:space="preserve">Quelle: </w:t>
      </w:r>
      <w:r>
        <w:t>https://mcp.opencaselaw.ch/entscheid/bger_1B_467_2018</w:t>
      </w:r>
    </w:p>
    <w:p>
      <w:r>
        <w:t>FR: TF 1B_467/2018 du 22 octobre 2018</w:t>
      </w:r>
    </w:p>
    <w:p>
      <w:r>
        <w:t>IT: TF 1B_467/2018 del 22 ottobre 2018</w:t>
      </w:r>
    </w:p>
    <w:p>
      <w:pPr>
        <w:pStyle w:val="Heading2"/>
      </w:pPr>
      <w:r>
        <w:t>Erwägungen</w:t>
      </w:r>
    </w:p>
    <w:p>
      <w:r>
        <w:rPr>
          <w:b/>
        </w:rPr>
        <w:t>E. 1</w:t>
      </w:r>
    </w:p>
    <w:p>
      <w:r>
        <w:t>Das Bezirksgericht Meilen verurteilte am 8. Juni 2018 A.________ wegen versuchter schwerer Körperverletzung etc. zu einer Gesamtstrafe von 42 Monaten Freiheitsstrafe, teilweise als Zusatzstrafe zum Strafbefehl der Staatsanwaltschaft See/Oberland vom 14. November 2016, sowie zu einer Busse von Fr. 500.--. Die mit dem genannten Strafbefehl bedingt ausgefällte Geldstrafe von 15 Tagessätzen à Fr. 30.-- wurde widerrufen. Der Vollzug der Freiheitsstrafe wurde zugunsten einer stationären Therapie aufgeschoben.</w:t>
      </w:r>
    </w:p>
    <w:p>
      <w:r>
        <w:t>A.________ meldete mit Schreiben vom 14. Juni 2018 persönlich Berufung an und stellte dabei sinngemäss ein Gesuch um Wechsel der amtlichen Verteidigung, sofern dies nicht zu Verzögerungen führe. Rechtsanwalt Dominik Zillig, der amtliche Verteidiger von A.________, meldete mit Eingabe vom 15. Juni 2018 ebenfalls Berufung an. Mit Schreiben vom 13. Juli 2018 ersuchte A.________ erneut um Wechsel der amtlichen Verteidigung. Das Bezirksgericht Meilen wies das Gesuch mit Verfügung vom 30. Juli 2018 ab. Dagegen erhob A.________ Beschwerde und ersuchte um Bestellung von Rechtsanwalt Ivo Harb als neuer amtlicher Verteidiger. In seiner Vernehmlassung vom 3. September 2018 an die III. Strafkammer des Obergerichts des Kantons Zürich beantragte er die Bestellung von Rechtsanwalt Vijay Singh als amtlicher Verteidiger. Mit Beschluss vom 18. September 2018 wies die III. Strafkammer die Beschwerde ab. Zur Begründung führte sie zusammenfassend aus, dass bereits am 10. Januar 2018 auf ausdrücklichen Wunsch des Beschwerdeführers hin ein Verteidigerwechsel stattgefunden habe. Ein erneutes Gesuch um Wechsel des amtlichen Verteidigers vom 13. März 2018 sei am 16. März 2018 abgewiesen worden. Der Beschwerdeführer habe mit seinen pauschalen Vorbringen keine Gründe glaubhaft machen können, die auf ein gestörtes Vertrauensverhältnis schliessen liessen. Ausserdem habe der amtliche Verteidiger nachvollziehbar dargelegt, dass er den Beschwerdeführer nach wie vor effektiv verteidigen könne.</w:t>
      </w:r>
    </w:p>
    <w:p>
      <w:r>
        <w:rPr>
          <w:b/>
        </w:rPr>
        <w:t>E. 2</w:t>
      </w:r>
    </w:p>
    <w:p>
      <w:r>
        <w:t>A.________ erhob mit Eingabe vom 8. Oktober 2018 Beschwerde in Strafsachen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Strafkammer kam zum Schluss, dass sich den Ausführungen des Beschwerdeführers keinerlei objektivierbaren Hinweise auf ein zerrüttetes Vertrauensverhältnis entnehmen liessen. Inwiefern diese Auffassung Recht im Sinne von Art. 42 Abs. 2 BGG verletzen sollte, vermag der Beschwerdeführer nicht nachvollziehbar aufzuzeigen. Der Beschwerdeführer legt nicht im Einzelnen und konkret dar, inwiefern die Begründung der Strafkammer, die zur Abweisung der Beschwerde führte, bzw. der Beschluss der Strafkammer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