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1B_465/2022 vom 28. Juni 2023</w:t>
      </w:r>
    </w:p>
    <w:p>
      <w:r>
        <w:t>Bundesgericht, 2023-06-28, DE</w:t>
      </w:r>
    </w:p>
    <w:p>
      <w:r>
        <w:rPr>
          <w:b/>
        </w:rPr>
        <w:t xml:space="preserve">Quelle: </w:t>
      </w:r>
      <w:r>
        <w:t>https://mcp.opencaselaw.ch/entscheid/bger_1B_465_2022</w:t>
      </w:r>
    </w:p>
    <w:p>
      <w:r>
        <w:t>FR: TF 1B_465/2022 du 28 juin 2023</w:t>
      </w:r>
    </w:p>
    <w:p>
      <w:r>
        <w:t>IT: TF 1B_465/2022 del 28 giugno 2023</w:t>
      </w:r>
    </w:p>
    <w:p>
      <w:pPr>
        <w:pStyle w:val="Heading2"/>
      </w:pPr>
      <w:r>
        <w:t>Erwägungen</w:t>
      </w:r>
    </w:p>
    <w:p>
      <w:r>
        <w:rPr>
          <w:b/>
        </w:rPr>
        <w:t>E. 1.1</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rPr>
          <w:b/>
        </w:rPr>
        <w:t>E. 1.2</w:t>
      </w:r>
    </w:p>
    <w:p>
      <w:r>
        <w:t>Der angefochtene Entsiegelungsentscheid schliesst das gegen den Beschwerdeführer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fehlender hinreichender Tatverdacht oder ein mangelnder Deliktskonnex geltend gemacht, fehlt es grundsätzlich am nicht wieder gutzumachenden Nachteil (Urteile 1B_155/2023 vom 10. Mai 2023 E. 1.2; 1B_591/2022 vom 21. Dezember 2022 E. 4.1; 1B_40/2022 vom 1. Dezember 2022 E. 2.1; je mit weiteren Hinweisen). Woraus sich der nicht wieder gutzumachende Nachteil ergeben soll, ist in der Beschwerdeschrift darzulegen, sofern dies nicht offensichtlich ist ( BGE 141 IV 284 E. 2.3, 289 E. 1.3, je mit Hinweisen).</w:t>
      </w:r>
    </w:p>
    <w:p>
      <w:r>
        <w:rPr>
          <w:b/>
        </w:rPr>
        <w:t>E. 1.3.1</w:t>
      </w:r>
    </w:p>
    <w:p>
      <w:r>
        <w:t>Im Verfahren vor dem ZMG führte der Beschwerdeführer nach der verbindlichen Feststellungen im angefochtenen Urteil ( Art. 105 Abs. 1 BGG ) pauschal aus, dass die sichergestellten Unterlagen und Daten dem Anwaltsgeheimnis unterliegen würden. Weiter habe es in den sichergestellten Dokumenten zahlreiche persönliche Aufzeichnungen und Korrespondenz von ihm. Das ZMG befand, mit derart vagen Hinweisen auf durch die private Geheimsphäre geschützte persönliche Aufzeichnungen komme der Beschwerdeführer den ihm im Entsiegelungsverfahren obliegenden Begründungs- und Substanziierungspflichten nicht nach. In Bezug auf das angerufene Anwaltsgeheimnis gelangte das ZMG zum gleichen Schluss und hielt fest, dass nicht automatisch alle der in der Anwaltskanzlei des Beschwerdeführers sichergestellten Unterlagen zwangsläufig vom Anwaltsgeheimnis erfasst seien. Gerade, was das Verhältnis zur verstorbenen B.________ betreffe, erscheine dieses, wie der Beschwerdeführer selber geltend mache, freundschaftlicher und nicht anwaltsrechtlicher Natur gewesen zu sein. Infolgedessen hätte er näher darlegen müssen, in welchen der sichergestellten Unterlagen, die ausschliesslich in einem Zusammenhang mit B.________ zu stehen schienen, sich die Anwaltskorrespondenz befinde. Da er dies unterlassen habe, sei er seiner Substanziierungsobliegenheit auch insoweit nicht nachgekommen.</w:t>
      </w:r>
    </w:p>
    <w:p>
      <w:r>
        <w:rPr>
          <w:b/>
        </w:rPr>
        <w:t>E. 1.3.2</w:t>
      </w:r>
    </w:p>
    <w:p>
      <w:r>
        <w:t>Der Beschwerdeführer nimmt keinerlei Bezug auf diese Erwägungen des ZMG und macht insbesondere nicht mehr geltend, dass sich in den sichergestellten Unterlagen Dokumente befinden, die dem Anwaltsgeheimnis unterliegen. Vor Bundesgericht bringt er vielmehr einzig vor, die bewilligte Entsiegelung und Durchsuchung der sichergestellten Asservate stelle einen unzulässigen Eingriff in seine Privatsphäre dar. Derart pauschale Hinweise auf private Dokumente begründen rechtsprechungsgemäss keine schutzwürdigen Geheimnisinteressen im Sinne von Art. 248 Abs. 1 StPO (Urteile 1B_155/2023 vom 10. Mai 2023 E. 1.3; 1B_40/2022 vom 1. Dezember 2022 E. 2.2; 1B_427/2021 vom 21. Januar 2022 E. 6.5; 1B_78/2021 vom 11. November 2021 E. 3.2; 1B_564/2019 vom 17. Juni 2020 E 6.2). Die Beschwerde erweist sich daher insoweit als unzulässig.</w:t>
      </w:r>
    </w:p>
    <w:p>
      <w:r>
        <w:rPr>
          <w:b/>
        </w:rPr>
        <w:t>E. 1.3.3</w:t>
      </w:r>
    </w:p>
    <w:p>
      <w:r>
        <w:t>Soweit sich die Beschwerde im Hauptpunkt gegen den vom ZMG bejahten hinreichenden Tatverdacht richtet, macht der Beschwerdeführer lediglich andere, allgemeine Beschlagnahmehindernisse geltend, die zwar ebenfalls von der Vorinstanz zu prüfen waren (und geprüft wurden), aber für sich alleine nicht zur Anrufung des Bundesgerichts berechtigen (Urteile 1B_591/2022 vom 21. Dezember 2022 E. 4.2; 1B_40/2022 vom 1. Dezember 2022 E. 2.2; 1B_401/2021 vom 19. April 2022 E. 1.2; 1B_260/2019 vom 17. Oktober 2019 E. 1; je mit Hinweisen).</w:t>
      </w:r>
    </w:p>
    <w:p>
      <w:r>
        <w:rPr>
          <w:b/>
        </w:rPr>
        <w:t>E. 1.4</w:t>
      </w:r>
    </w:p>
    <w:p>
      <w:r>
        <w:t>Zusammengefasst kann mangels der ausreichend substanziierten Anrufung rechtlich geschützter Geheimnisinteressen kein nicht wieder gutzumachender Nachteil gemäss Art. 93 Abs. 1 lit. a BGG angenommen und damit auf die Beschwerde nicht eingetreten werden. Daran vermag auch der Umstand nichts zu ändern, dass der Beschwerdeführer (auch) eine Verletzung der Begründungspflicht durch die Vorinstanz und damit seines Anspruchs auf rechtliches Gehör ( Art. 29 Abs. 2 BV ) geltend macht. Anders als bei Rügen hinsichtlich einer formellen Rechtsverweigerung ( Art. 29 Abs. 1 BV ) rechtfertigt sich diesfalls kein Verzicht auf das Erfordernis des nicht wieder gutzumachenden Nachteils (Urteile 1B_591/2022 vom 21. Dezember 2022 E. 4.3; 1B_2/2021 vom 7. April 2021 E. 1.4; 1B_18/2021 vom 23. Februar 2021 E. 1.4; je mit Hinweisen). Der guten Ordnung halber ist zudem festzuhalten, dass die Akten des vorinstanzlichen Verfahrens beigezogen wurden, womit dem entsprechenden Verfahrensantrag Genüge getan ist. Zudem wurde dem Beschwerdeführer wie beantragt das Replikrecht eingeräumt und kam ihm damit in der Sache das letzte Wort zu.</w:t>
      </w:r>
    </w:p>
    <w:p>
      <w:r>
        <w:rPr>
          <w:b/>
        </w:rPr>
        <w:t>E. 2</w:t>
      </w:r>
    </w:p>
    <w:p>
      <w:r>
        <w:t>Die Kosten des bundesgerichtlichen Verfahrens sind dem Beschwerdeführer aufzuerlegen ( Art. 66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