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465/2021 vom 11. Oktober 2021</w:t>
      </w:r>
    </w:p>
    <w:p>
      <w:r>
        <w:t>Bundesgericht, 2021-10-11, DE</w:t>
      </w:r>
    </w:p>
    <w:p>
      <w:r>
        <w:rPr>
          <w:b/>
        </w:rPr>
        <w:t xml:space="preserve">Quelle: </w:t>
      </w:r>
      <w:r>
        <w:t>https://mcp.opencaselaw.ch/entscheid/bger_1B_465_2021</w:t>
      </w:r>
    </w:p>
    <w:p>
      <w:r>
        <w:t>FR: TF 1B 465/2021 du 11 octobre 2021</w:t>
      </w:r>
    </w:p>
    <w:p>
      <w:r>
        <w:t>IT: TF 1B 465/2021 del 11 ottobre 2021</w:t>
      </w:r>
    </w:p>
    <w:p>
      <w:pPr>
        <w:pStyle w:val="Heading2"/>
      </w:pPr>
      <w:r>
        <w:t>Regeste</w:t>
      </w:r>
    </w:p>
    <w:p>
      <w:r>
        <w:t>Strafverfahren; Entsiegelung | Strafprozess</w:t>
      </w:r>
    </w:p>
    <w:p>
      <w:pPr>
        <w:pStyle w:val="Heading2"/>
      </w:pPr>
      <w:r>
        <w:t>Erwägungen</w:t>
      </w:r>
    </w:p>
    <w:p>
      <w:r>
        <w:rPr>
          <w:b/>
        </w:rPr>
        <w:t>E. 1</w:t>
      </w:r>
    </w:p>
    <w:p>
      <w:r>
        <w:t>Das Bundesgericht prüft seine Zuständigkeit und die Zulässigkeit der Beschwerde von Amtes wegen und mit freier Kognition ( Art. 29 Abs. 1 BGG ; BGE 145 II 168 E. 1 mit Hinweis).</w:t>
      </w:r>
    </w:p>
    <w:p>
      <w:r>
        <w:rPr>
          <w:b/>
        </w:rPr>
        <w:t>E. 1.1</w:t>
      </w:r>
    </w:p>
    <w:p>
      <w:r>
        <w:t>Gegen den angefochtenen Entscheid ist gemäss Art. 78 Abs. 1 BGG die Beschwerde in Strafsachen gegeben. Die Vorinstanz hat gemäss Art. 248 Abs. 3 lit. a i.V.m. Art. 380 StPO als einzige kantonale Instanz entschieden; ein kantonales Rechtsmittel steht nicht zur Verfügung. Die Beschwerde ist somit gemäss Art. 80 BGG zulässig.</w:t>
      </w:r>
    </w:p>
    <w:p>
      <w:r>
        <w:rPr>
          <w:b/>
        </w:rPr>
        <w:t>E. 1.2</w:t>
      </w:r>
    </w:p>
    <w:p>
      <w:r>
        <w:t>Nachdem der angefochtene Entscheid das Verfahren nicht abschliesst und weder die Zuständigkeit noch ein Ausstandsbegehren betrifft ( Art. 92 BGG ), handelt es sich um einen Zwischenentscheid im Sinne von Art. 93 BGG , gegen den die Beschwerde nur zulässig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Die zweitgenannte Variante kommt vorliegend nicht in Betracht. Beim nicht wieder gutzumachenden Nachteil gemäss Art. 93 Abs. 1 lit. a BGG muss es sich im Strafrecht um einen solchen rechtlicher Natur handeln, der auch durch einen für den Beschwerdeführer günstigen späteren Entscheid nicht mehr behoben werden kann ( BGE 144 IV 127 E. 1.3.1). Ein lediglich tatsächlicher Nachteil wie die Verlängerung oder Verteuerung des Verfahrens genügt nicht ( BGE 144 III 475 E. 1.2 mit Hinweisen). Der Beschwerdeführer muss, wenn das nicht offensichtlich ist, im Einzelnen darlegen, inwiefern ihm ein nicht wieder gutzumachender Nachteil rechtlicher Natur drohen soll. Andernfalls kann auf die Beschwerde mangels hinreichender Begründung ( Art. 42 Abs. 1 und 2 BGG ) nicht eingetreten werden ( BGE 142 III 798 E. 2.2; 137 III 324 E. 1.1; je mit Hinweisen). Bei einer Entsiegelung ist ein nicht wieder gutzumachender Nachteil rechtlicher Natur rechtsprechungsgemäss dann anzunehmen, wenn der Beschwerdeführer ein rechtlich geschütztes Geheimnisinteresse ausreichend substanziiert anruft (vgl. BGE 143 IV 462 E. 1; Urteile 1B_394/2017 vom 17. Januar 2018 E. 1, nicht publ. in BGE 144 IV 74 ; 1B_481/2020 vom 7. Juni 2021 E. 1.3). Tut er das nicht, sondern macht er andere Beschlagnahmehindernisse geltend, fehlt es dagegen regelmässig am nicht wieder gutzumachenden Nachteil (Urteile 1B_378/2020 vom 26. Mai 2021 E. 1.2; 1B_260/2019 vom 17. Oktober 2019 E. 1.2; 1B_196/2018 vom 26. November 2018 E. 1.3; je mit Hinweisen).</w:t>
      </w:r>
    </w:p>
    <w:p>
      <w:r>
        <w:rPr>
          <w:b/>
        </w:rPr>
        <w:t>E. 1.3</w:t>
      </w:r>
    </w:p>
    <w:p>
      <w:r>
        <w:t>Im Zusammenhang mit dem drohenden nicht wieder gutzumachenden Nachteil bringt der Beschwerdeführer einzig vor, "der vorliegende Zwischenentscheid führ[e] zu einem (auch durch einen Endentscheid in Strafsachen nicht mehr korrigierbaren) Eingriff in die rechtlich geschützten Geheimnisinteressen". Mit diesem pauschalen Vorbringen legt der Beschwerdeführer nicht rechtsgenüglich dar, inwiefern der angefochtene Entscheid einen nicht wieder gutzumachenden Nachteil im Sinne von Art. 93 Abs. 1 lit. a BGG bewirken kann. Jede strafprozessuale Zwangsmassnahme und jede Entsiegelung führt definitionsgemäss zu einem Eingriff in die Grundrechte der betroffenen Person (vgl. Art. 196 StPO ). Aus der Beschwerde geht weder hervor, welche konkreten schutzwürdigen Geheimnisinteressen vom Entsiegelungsentscheid tangiert sein sollen, noch inwiefern der Eingriff besonders belastend erscheinen soll. Ebensowenig präzisiert der Beschwerdeführer, auf welchen Datenträgern (Mobiltelefon, Computer, Festplatten) sich Dateien befinden sollen, deren Geheimnisschutz das öffentliche Interesse an der Untersuchung überwiegen könnte. Wie sich sodann aus dem angefochtenen Entscheid ergibt, hat der Beschwerdeführer bereits im vorinstanzlichen Verfahren keine rechtlich geschützten Geheimnisinteressen substanziiert geltend gemacht. So hielt die Vorinstanz fest, er lege nicht dar, inwiefern die sichergestellten Gegenstände besonders schützenswerte Privatgeheimnisse enthalten und weshalb die angerufenen privaten Geheimhaltungsinteressen dem Strafverfolgungsinteresse vorgehen sollten. In Bezug auf die Geschäftsunterlagen von Bekannten sei der Beschwerdeführer sodann grundsätzlich nicht legitimiert, Geheimnisschutzinteressen im eigenen Namen wahrzunehmen. Selbst wenn er dies wäre, käme er seiner Substanziierungsobliegenheit auch diesbezüglich nicht nach. Gegen diese Ausführungen der Vorinstanz wendet der Beschwerdeführer nichts ein; er bestreitet die ungenügende Substanziierung somit nicht. Ruft der Beschwerdeführer demnach kein rechtlich geschütztes Geheimnisinteresse ausreichend substanziiert an, ist ein drohender nicht wieder gutzumachender Nachteil gemäss Art. 93 Abs. 1 lit. a BGG nach der dargelegten Rechtsprechung zu verneinen.</w:t>
      </w:r>
    </w:p>
    <w:p>
      <w:r>
        <w:rPr>
          <w:b/>
        </w:rPr>
        <w:t>E. 2</w:t>
      </w:r>
    </w:p>
    <w:p>
      <w:r>
        <w:t>Nach diesen Erwägungen ist auf die Beschwerde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