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465/2020 vom 7. Dezember 2020</w:t>
      </w:r>
    </w:p>
    <w:p>
      <w:r>
        <w:t>Bundesgericht, 2020-12-07, DE</w:t>
      </w:r>
    </w:p>
    <w:p>
      <w:r>
        <w:rPr>
          <w:b/>
        </w:rPr>
        <w:t xml:space="preserve">Quelle: </w:t>
      </w:r>
      <w:r>
        <w:t>https://mcp.opencaselaw.ch/entscheid/bger_1B_465_2020</w:t>
      </w:r>
    </w:p>
    <w:p>
      <w:r>
        <w:t>FR: TF 1B 465/2020 du 7 décembre 2020</w:t>
      </w:r>
    </w:p>
    <w:p>
      <w:r>
        <w:t>IT: TF 1B 465/2020 del 7 dicembre 2020</w:t>
      </w:r>
    </w:p>
    <w:p>
      <w:pPr>
        <w:pStyle w:val="Heading2"/>
      </w:pPr>
      <w:r>
        <w:t>Regeste</w:t>
      </w:r>
    </w:p>
    <w:p>
      <w:r>
        <w:t>Strafverfahren; Ausstand | Zuständigkeitsfragen, Garantie des Wohnsitzrichters und des v...</w:t>
      </w:r>
    </w:p>
    <w:p>
      <w:pPr>
        <w:pStyle w:val="Heading2"/>
      </w:pPr>
      <w:r>
        <w:t>Erwägungen</w:t>
      </w:r>
    </w:p>
    <w:p>
      <w:r>
        <w:rPr>
          <w:b/>
        </w:rPr>
        <w:t>E. 1.1</w:t>
      </w:r>
    </w:p>
    <w:p>
      <w:r>
        <w:t>Gegen den angefochtenen Entscheid steht gemäss Art. 78 Abs. 1 BGG die Beschwerde in Strafsachen offen. Die Vorinstanz hat gemäss Art. 59 Abs. 1 lit. b StPO als einzige kantonale Instanz entschieden. Die Beschwerde ist somit nach Art. 80 BGG grundsätzlich zulässig.</w:t>
      </w:r>
    </w:p>
    <w:p>
      <w:r>
        <w:rPr>
          <w:b/>
        </w:rPr>
        <w:t>E. 1.2</w:t>
      </w:r>
    </w:p>
    <w:p>
      <w:r>
        <w:t>Das Beschwerderecht nach Art. 81 Abs. 1 BGG setzt ein rechtlich geschütztes Interesse an der Aufhebung des angefochtenen Entscheids voraus ( BGE 139 IV 121 E. 4.2 S. 123). Dieses muss aktuell sein. Es muss also nicht nur im Zeitpunkt der Beschwerdeeinreichung, sondern auch noch im Zeitpunkt der Urteilsfällung bestehen ( BGE 137 I 296 E. 4.2 S. 299). Mit diesem Erfordernis soll sichergestellt werden, dass das Gericht konkrete und nicht bloss theoretische Fragen entscheidet ( BGE 140 IV 74 E. 1.3.1 S. 77). Fällt das schutzwürdige Interesse im Laufe des Verfahrens dahin, wird die Sache als erledigt erklärt; fehlte es schon bei der Beschwerdeeinreichung, ist auf die Eingabe nicht einzutreten ( BGE 142 I 135 E. 1.3.1 S. 143). Das Bundesgericht verzichtet ausnahmsweise auf das Erfordernis des aktuellen praktischen Interesses,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140 IV 74 E. 1.3.3 S. 78).</w:t>
      </w:r>
    </w:p>
    <w:p>
      <w:r>
        <w:rPr>
          <w:b/>
        </w:rPr>
        <w:t>E. 1.3.1</w:t>
      </w:r>
    </w:p>
    <w:p>
      <w:r>
        <w:t>Angesichts des Umstands, dass das Berufungsverfahren P1 19 100 infolge Rückzug des Strafantrags eingestellt wurde, besitzt die Staatsanwaltschaft kein aktuelles und praktisches Interesse mehr an der Aufhebung oder Abänderung des vorinstanzlichen Urteils. Daran ändert nichts, dass sich die hier stellenden Rechtsfragen in künftigen Verfahren möglicherweise in gleicher oder ähnlicher Form erneut stellen könnten, ist doch eine rechtzeitige gerichtliche Überprüfung eines Ausstandsgesuchs grundsätzlich ohne weiteres möglich.</w:t>
      </w:r>
    </w:p>
    <w:p>
      <w:r>
        <w:rPr>
          <w:b/>
        </w:rPr>
        <w:t>E. 1.3.2</w:t>
      </w:r>
    </w:p>
    <w:p>
      <w:r>
        <w:t>Das Bundesgericht hat sich sodann bereits verschiedentlich mit der Frage auseinandergesetzt, ob und gegebenenfalls inwieweit Bürogemeinschaften in Anwaltskanzleien den Anschein von Befangenheit erwecken und damit einen Ausstandsgrund im Sinne von Art. 56 lit. f StPO begründen können. Es hat dabei insbesondere festgehalten, dass sich ein solcher Ausstandsgrund wegen seiner Einzelfallbezogenheit nicht anhand von pauschalen Kriterien beurteilen lässt, sondern einer rechtlichen Würdigung der konkreten Umstände bedarf (Urteile 1B_315/2020 vom 23. September 2020 E. 5.3.1; 1B_55/2015 vom 17. August 2015 E. 4.5; vgl. auch BGE 140 I 326 E. 5.2 S. 330; 139 III 433 E. 2.1.5 S. 438 f. mit Hinweisen). Selbst wenn also das Bundesgericht ein Urteil in der Sache fällen würde, würde dies künftige vergleichbare Fälle - wenn überhaupt - nur beschränkt präjudizieren. Die Beschwerde zielt damit auf eine theoretische Überprüfung des konkreten Einzelfalls ab und wirft demnach keine Rechtsfrage von grundsätzlicher Bedeutung auf (vorne E. 1.2).</w:t>
      </w:r>
    </w:p>
    <w:p>
      <w:r>
        <w:rPr>
          <w:b/>
        </w:rPr>
        <w:t>E. 1.3.3</w:t>
      </w:r>
    </w:p>
    <w:p>
      <w:r>
        <w:t>Zusammenfassend liegen keine Gründe vor, die ein ausnahmsweises Absehen vom Erfordernis des aktuellen und praktischen Interesses rechtfertigen. Die Beschwerde ist deshalb mit einzelrichterlichem Entscheid als gegenstandslos geworden vom Geschäftsverzeichnis abzuschreiben ( Art. 32 Abs. 2 BGG ).</w:t>
      </w:r>
    </w:p>
    <w:p>
      <w:r>
        <w:rPr>
          <w:b/>
        </w:rPr>
        <w:t>E. 2.1</w:t>
      </w:r>
    </w:p>
    <w:p>
      <w:r>
        <w:t>Erklärt das Bundesgericht einen Rechtsstreit als gegenstandslos, entscheidet es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 BGE 125 V 373 E. 2a S. 374 f. mit Hinweisen).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(zum Ganzen BGE 142 V 551 E. 8.2 S. 568).</w:t>
      </w:r>
    </w:p>
    <w:p>
      <w:r>
        <w:rPr>
          <w:b/>
        </w:rPr>
        <w:t>E. 2.2</w:t>
      </w:r>
    </w:p>
    <w:p>
      <w:r>
        <w:t>Nach der Rechtsprechung ist für die Regelung der Kosten- und Entschädigungsfolgen nur dann auf den mutmasslichen Ausgang des Verfahrens abzustellen, wenn sich dieser ohne weiteres feststellen lässt. Das ist hier nicht der Fall. Ein Ausstandsgrund lässt sich nicht aufgrund von pauschalen Kriterien beurteilen, sondern bedarf einer umfassenden Würdigung der konkreten Umstände des Einzellfalls (vorne E. 1.3.2). Die Beantwortung der Frage, ob die Beziehung der leitenden Staatsanwältin zu einem Büropartner der Anwaltskanzlei des Rechtsvertreter des Privatklägers einen Ausstandsgrund im Sinne von Art. 56 lit. f StPO darstellt, bedürfte daher einer eingehenden bundesgerichtlichen Prüfung und Abwägung.</w:t>
      </w:r>
    </w:p>
    <w:p>
      <w:r>
        <w:rPr>
          <w:b/>
        </w:rPr>
        <w:t>E. 2.3</w:t>
      </w:r>
    </w:p>
    <w:p>
      <w:r>
        <w:t>Für die Bestimmung der Kostenfolgen ist demnach auf das allgemeine Kriterium zurückzugreifen, wer das Verfahren vor dem Bundesgericht veranlasst hat. Hier ist das die Staatsanwaltschaft. Zu berücksichtigen ist allerdings, dass die Staatsanwaltschaft die Gegenstandslosigkeit des bundesgerichtlichen Verfahrens nicht verursachte, hatte sie doch keinerlei Einfluss auf den Rückzug des Strafantrags durch den Privatkläger. Unter diesen Umständen rechtfertigt es sich, keine Parteientschädigungen zuzusprechen (vgl. Art. 68 BGG ). Die Staatsanwaltschaft handelte sodann in ihrem amtlichen Wirkungskreis, weshalb für das bundesgerichtliche Verfahren keine Gerichtskosten zu erheben sind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