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464/2020 vom 22. September 2020</w:t>
      </w:r>
    </w:p>
    <w:p>
      <w:r>
        <w:t>Bundesgericht, 2020-09-22, DE</w:t>
      </w:r>
    </w:p>
    <w:p>
      <w:r>
        <w:rPr>
          <w:b/>
        </w:rPr>
        <w:t xml:space="preserve">Quelle: </w:t>
      </w:r>
      <w:r>
        <w:t>https://mcp.opencaselaw.ch/entscheid/bger_1B_464_2020</w:t>
      </w:r>
    </w:p>
    <w:p>
      <w:r>
        <w:t>FR: TF 1B 464/2020 du 22 septembre 2020</w:t>
      </w:r>
    </w:p>
    <w:p>
      <w:r>
        <w:t>IT: TF 1B 464/2020 del 22 settembre 2020</w:t>
      </w:r>
    </w:p>
    <w:p>
      <w:pPr>
        <w:pStyle w:val="Heading2"/>
      </w:pPr>
      <w:r>
        <w:t>Regeste</w:t>
      </w:r>
    </w:p>
    <w:p>
      <w:r>
        <w:t>Strafverfahren; Prozesskaution, unentgeltliche Rechtspflege | Strafprozess</w:t>
      </w:r>
    </w:p>
    <w:p>
      <w:pPr>
        <w:pStyle w:val="Heading2"/>
      </w:pPr>
      <w:r>
        <w:t>Erwägungen</w:t>
      </w:r>
    </w:p>
    <w:p>
      <w:r>
        <w:rPr>
          <w:b/>
        </w:rPr>
        <w:t>E. 1</w:t>
      </w:r>
    </w:p>
    <w:p>
      <w:r>
        <w:t>Am 12. Februar 2020 nahm die Staatsanwaltschaft Zürich Limmat das von A.________ gegen B.________ und 11 weitere Personen angestrengte Strafverfahren wegen Ehrverletzung nicht an die Hand. A.________ focht diese Verfügung beim Obergericht des Kantons Zürich an und ersuchte um unentgeltliche Rechtspflege und Verbeiständung. Am 10. August 2020 wies das Obergericht das Gesuch um unentgeltliche Rechtspflege und Verbeiständung ab und setzte A.________ eine Frist von 30 Tagen an, um eine Prozesskaution von Fr. 2'500.-- zu leisten, unter der Androhung, bei Säumnis auf das Rechtsmittel nicht einzutreten. Mit Eingabe vom 8. September 2020 erklärt A.________, dass sie mit den Verfügungen der Staatsanwaltschaft und des Obergerichts nicht einverstanden sei. Vernehmlassungen wurden keine eingeholt.</w:t>
      </w:r>
    </w:p>
    <w:p>
      <w:r>
        <w:rPr>
          <w:b/>
        </w:rPr>
        <w:t>E. 2</w:t>
      </w:r>
    </w:p>
    <w:p>
      <w:r>
        <w:t>Die Verfügung der Staatsanwaltschaft ist nicht kantonal letztinstanzlich und damit nicht anfechtbar. Die Verfügung des Obergerichts ist hingegen ein kantonal letztinstanzlicher Entscheid in einer strafrechtlichen Angelegenheit, gegen den die Beschwerde nach Art. 78 ff. BGG offensteht.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Beschwerdeführerin legt im Wesentlichen bloss dar, dass und weshalb die Staatsanwaltschaft das von ihr angestrengte Strafverfahren hätte an die Hand nehmen müssen. Das geht an der Sache vorbei. Gegenstand des vorliegenden Verfahrens kann nur sein, ob das Obergericht Bundesrecht verletzt hat, indem es ihr eine Prozesskaution auferlegte. Dazu bringt die Beschwerdeführerin unter Verletzung ihrer gesetzlichen Begründungspflicht nichts vor, weshalb auf die Beschwerde im vereinfachten Verfahren nicht einzutreten ist. In diesem Zusammenhang macht sie bloss geltend, sie könne momentan die obergerichtliche Prozesskaution nicht bezahlen, weshalb sie eine Ratenzahlung vorschlage. Für die Behandlung dieses Gesuchs ist indessen nicht das Bundesgericht, sondern das Obergericht zuständig, weshalb diesem die Beschwerdeschrift in Kopie zur Behandlung zugestellt wird.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