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464/2019 vom 17. März 2020</w:t>
      </w:r>
    </w:p>
    <w:p>
      <w:r>
        <w:t>Bundesgericht, 2020-03-17, DE</w:t>
      </w:r>
    </w:p>
    <w:p>
      <w:r>
        <w:rPr>
          <w:b/>
        </w:rPr>
        <w:t xml:space="preserve">Quelle: </w:t>
      </w:r>
      <w:r>
        <w:t>https://mcp.opencaselaw.ch/entscheid/bger_1B_464_2019</w:t>
      </w:r>
    </w:p>
    <w:p>
      <w:r>
        <w:t>FR: TF 1B 464/2019 du 17 mars 2020</w:t>
      </w:r>
    </w:p>
    <w:p>
      <w:r>
        <w:t>IT: TF 1B 464/2019 del 17 marzo 2020</w:t>
      </w:r>
    </w:p>
    <w:p>
      <w:pPr>
        <w:pStyle w:val="Heading2"/>
      </w:pPr>
      <w:r>
        <w:t>Regeste</w:t>
      </w:r>
    </w:p>
    <w:p>
      <w:r>
        <w:t>Strafverfahren; Entsiegelung | Strafprozess</w:t>
      </w:r>
    </w:p>
    <w:p>
      <w:pPr>
        <w:pStyle w:val="Heading2"/>
      </w:pPr>
      <w:r>
        <w:t>Erwägungen</w:t>
      </w:r>
    </w:p>
    <w:p>
      <w:r>
        <w:rPr>
          <w:b/>
        </w:rPr>
        <w:t>E. 1</w:t>
      </w:r>
    </w:p>
    <w:p>
      <w:r>
        <w:t>Die Vorinstanz ist auf das Entsiegelungsgesuch der Staatsanwaltschaft betreffend die in der Werkstatt erhobenen Asservate nicht eingetreten; diesbezüglich hat sie die sichergestellten Gegenstände ohne förmliches Entsiegelungsverfahren an die Staatsanwaltschaft zur Durchsuchung freigegeben. Das damals noch hängige Entsiegelungsgesuch betreffend drei am Wohnort des Beschwerdeführers sichergestellte (grundsätzlich durchsuchungsfähige) Asservate wurde im hier angefochtenen Entscheid (noch) nicht behandelt. Über das am Wohnort des Beschwerdeführers ebenfalls sichergestellte (am 21. Januar 2019 vorübergehend förmlich beschlagnahmte und unterdessen wieder an den Beschuldigten herausgegebene) Fahrzeug hatte gemäss der angefochtenen Verfügung kein Entsiegelungsentscheid (mehr) zu erfolgen. Soweit die Vorinstanz (provisorisch gesiegelte) Gegenstände aus der Werkstatt an die Staatsanwaltschaft zur Durchsuchung freigegeben hat, ohne ein förmliches Entsiegelungsverfahren durchzuführen, besteht für den Beschwerdeführer grundsätzlich ein (prozessualer) nicht wieder gutzumachender Rechtsnachteil ( Art. 93 Abs. 1 lit. a BGG i.V.m. Art. 246 und Art. 248 StPO ). Soweit die Beschwerdeschrift sich hingegen auf Asservate vom Wohnort des Beschwerdeführers bezieht, die gar nicht Gegenstand des angefochtenen Entscheides vom 21. August 2019bilden bzw. bereits an den Berechtigten herausgegeben wurden, ist darauf nicht einzutreten (vgl. Art. 80 Abs. 1, Art. 81 Abs. 1 lit. b und Art. 93 Abs. 1 lit. a BGG ; s.a. konnexe Abschreibungsverfügungen des Bundesgerichtes 1B_467/2019 und 1B_468/2019 vom 9. Oktober 2019, nach diesbezüglichen separaten Beschwerderückzügen).</w:t>
      </w:r>
    </w:p>
    <w:p>
      <w:r>
        <w:rPr>
          <w:b/>
        </w:rPr>
        <w:t>E. 2</w:t>
      </w:r>
    </w:p>
    <w:p>
      <w:r>
        <w:t>Materiell zu prüfen ist, ob die Vorinstanz betreffend die in der Werkstatt sichergestellten Asservate auf das Entsiegelungsgesuch nicht eintreten und die Gegenstände (ohne förmliches Entsiegelungsverfahren) der Staatsanwaltschaft zur Durchsuchung überlassen durfte.</w:t>
      </w:r>
    </w:p>
    <w:p>
      <w:r>
        <w:rPr>
          <w:b/>
        </w:rPr>
        <w:t>E. 2.1</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im Vorverfahren ein Entsiegelungsgesuch, hat das ZMG im Entsiegelungsverfahren zu prüfen, ob von den Betroffenen angerufene schutzwürdige Geheimnisinteressen oder andere gesetzliche Entsiegelungshindernisse einer Durchsuchung entgegenstehen ( Art. 248 Abs. 2-4 StPO ; BGE 144 IV 74 E. 2.2 S. 77; 141 IV 77 E. 4.1 S. 81 mit Hinweisen). Nach der bundesgerichtlichen Praxis trifft den Inhaber von zu Durchsuchungszwecken sichergestellten Aufzeichnungen und Gegenständen, der rechtzeitig ein gültiges Siegelungsbegehren gestellt hat, die prozessuale Obliegenheit, die von ihm angerufenen Geheimhaltungsinteressen (im Sinne von Art. 248 Abs. 1 StPO ) ausreichend zu substanziieren. Dies gilt besonders bei grossen Datenmengen. Kommt der Betroffene seiner Mitwirkungs- und Substanziierungsobliegenheit im Entsiegelungsverfahren nicht nach, ist das ZMG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S. 211, E. 11 S. 228; 141 IV 77 E. 4.3 S. 81, E. 5.5.3 S. 86, E. 5.6 S. 87; 138 IV 225 E. 7.1 S. 229; 137 IV 189 E. 4.2 S. 195, E. 5.3.3 S. 199).</w:t>
      </w:r>
    </w:p>
    <w:p>
      <w:r>
        <w:rPr>
          <w:b/>
        </w:rPr>
        <w:t>E. 2.2</w:t>
      </w:r>
    </w:p>
    <w:p>
      <w:r>
        <w:t>Im vorliegenden Fall kann offen bleiben, ob der Beschwerdeführer überhaupt rechtzeitig ein gültiges Siegelungsbegehren (für die in der Werkstatt sichergestellten Gegenstände) erhoben hatte. Wie sich aus den nachfolgenden Erwägungen ergibt, durfte die Vorinstanz schon deshalb auf die Durchführung eines Entsiegelungsverfahrens verzichten, weil der Beschwerdeführer im vorinstanzlichen Verfahren überhaupt keine gesetzlich geschützten Geheimnisrechte substanziiert hat: Am 20. Februar 2019 reichte der Beschwerdeführer beim ZMG eine erste Eingabe ein, in der er um Fristerstreckung für seine Vernehmlassung zum Entsiegelungsgesuch ersuchte. Innert der von der Vorinstanz erstreckten Frist nahm er am 4. März 2019 Stellung. In keiner seiner vorinstanzlichen Stellungnahmen hat der anwaltlich verbeiständete Beschwerdeführer irgendwelche Geheimnisrechte als betroffen angerufen. Noch viel weniger hat er dargelegt, in welchen der zahlreichen gesiegelten Asservate sich geheimnisgeschützte Gegenstände befänden. Mangels substanziierter Vorbringen bestand für das ZMG somit kein Anlass, über die fraglichen Gegenstände (aus der Werkstatt) ein förmliches Entsiegelungsverfahren durchzuführen. Es kann offen bleiben, ob es der Beschwerdeführer auch noch versäumt hatte, diesbezüglich rechtzeitig ein gültiges Siegelungsbegehren zu stellen.</w:t>
      </w:r>
    </w:p>
    <w:p>
      <w:r>
        <w:rPr>
          <w:b/>
        </w:rPr>
        <w:t>E. 3</w:t>
      </w:r>
    </w:p>
    <w:p>
      <w:r>
        <w:t>Die Beschwerde ist abzuweisen, soweit darauf eingetreten wird.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