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462/2021 vom 13. September 2021</w:t>
      </w:r>
    </w:p>
    <w:p>
      <w:r>
        <w:t>Bundesgericht, 2021-09-13, DE</w:t>
      </w:r>
    </w:p>
    <w:p>
      <w:r>
        <w:rPr>
          <w:b/>
        </w:rPr>
        <w:t xml:space="preserve">Quelle: </w:t>
      </w:r>
      <w:r>
        <w:t>https://mcp.opencaselaw.ch/entscheid/bger_1B_462_2021</w:t>
      </w:r>
    </w:p>
    <w:p>
      <w:r>
        <w:t>FR: TF 1B 462/2021 du 13 septembre 2021</w:t>
      </w:r>
    </w:p>
    <w:p>
      <w:r>
        <w:t>IT: TF 1B 462/2021 del 13 settembre 2021</w:t>
      </w:r>
    </w:p>
    <w:p>
      <w:pPr>
        <w:pStyle w:val="Heading2"/>
      </w:pPr>
      <w:r>
        <w:t>Regeste</w:t>
      </w:r>
    </w:p>
    <w:p>
      <w:r>
        <w:t>Sicherheitshaft | Strafprozess</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Einreichung einer Beschwerde setzt unter anderem ein aktuelles Rechtsschutzinteresse voraus, d.h., der Beschwerdeführer muss aus ihrer Gutheissung einen praktischen Nutzen ziehen können. Zu dieser Problematik äussert sich der Beschwerdeführer in seiner Eingabe ans Bundesgericht mit keinem Wort. Mit der hier angefochtenen Präsidialverfügung hat das Obergericht die Verlängerung der Sicherheitshaft bis zur Eröffnung des Berufungsentscheids geschützt. Der Berufungsentscheid wurde am 16. Juni 2021 eröffnet, womit die Wirksamkeit der Verfügung vom 26. Mai 2021 abgelaufen ist. Sie wurde durch die Päsidialverfügung vom 16. Juni 2021 ersetzt, mit welcher die Sicherheitshaft bis zum Strafantritt verlängert wurde. Mit der Aufhebung der angefochtenen Präsidialverfügung vom 20. Juli 2021 und damit auch der in zeitlicher Hinsicht abgelaufenen Verfügung vom 26. Mai 2021 könnte der Beschwerdeführer seine Haftentlassung nicht erreichen. Er hat kein aktuelles Rechtsschutzinteresse an ihrer Aufhebung. Dies umso weniger, als das Bundesgericht am 4. August 2021 auch die Präsidialverfügung vom 16. Juni 2021 aufgehoben und die Sache zu neuem Entscheid ans Obergericht zurückgewiesen hat. Der Beschwerdeführer wird diesen (wohl bereits ergangenen oder in Kürze ergehenden) Obergerichtsentscheid wiederum beim Bundesgericht anfechten können. Dass sich dadurch seine Haft bis zu einer allfälligen neuen Beurteilung durch das Bundesgericht möglicherweise um einige wenige Wochen verlängert, hat er hinzunehmen, da das Bundesgericht im Urteil vom 4. August 2021 seinen Antrag auf sofortige Haftentlassung abgewiesen und damit diese Verzögerung in Kauf genommen hat. Der Beschwerdeführer macht im Übrigen nicht geltend, es liege eine Konstellation vor, in der trotz fehlendem aktuellem Rechtsschutzinteresse dennoch auf die Beschwerde eingetreten werden müsste. Dies ist auch nicht ersichtlich.</w:t>
      </w:r>
    </w:p>
    <w:p>
      <w:r>
        <w:rPr>
          <w:b/>
        </w:rPr>
        <w:t>E. 2</w:t>
      </w:r>
    </w:p>
    <w:p>
      <w:r>
        <w:t>Auf die Beschwerde ist im vereinfachten Verfahren nicht einzutreten. Das Gesuch um unentgeltliche Rechtspflege und Verbeiständung ist abzuweisen, da die Beschwerde aussichtslos war ( Art. 64 Abs. 1 und 2 BGG ). Hingegen kann auf die Erhebung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