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1B_461/2020 vom 14. Oktober 2020</w:t>
      </w:r>
    </w:p>
    <w:p>
      <w:r>
        <w:t>Bundesgericht, 2020-10-14, DE</w:t>
      </w:r>
    </w:p>
    <w:p>
      <w:r>
        <w:rPr>
          <w:b/>
        </w:rPr>
        <w:t xml:space="preserve">Quelle: </w:t>
      </w:r>
      <w:r>
        <w:t>https://mcp.opencaselaw.ch/entscheid/bger_1B_461_2020</w:t>
      </w:r>
    </w:p>
    <w:p>
      <w:r>
        <w:t>FR: TF 1B_461/2020 du 14 octobre 2020</w:t>
      </w:r>
    </w:p>
    <w:p>
      <w:r>
        <w:t>IT: TF 1B_461/2020 del 14 ottobre 2020</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nach Art. 80 BGG zulässig. Der Beschwerdeführer ist gemäss Art. 81 Abs. 1 lit. a und b Ziff. 1 BGG zur Beschwerde berechtigt. Die angefochtene Verfügung stellt einen Zwischenentscheid dar, der ihm einen nicht wieder gutzumachenden Nachteil im Sinne von Art. 93 Abs. 1 lit. a BGG verursachen kann (Urteil 1B_374/2019 vom 16. Oktober 2019 E. 1 mit Hinweis). Auf die Beschwerde ist - unter Vorbehalt der folgenden Erwägungen - einzutreten.</w:t>
      </w:r>
    </w:p>
    <w:p>
      <w:r>
        <w:rPr>
          <w:b/>
        </w:rPr>
        <w:t>E. 2</w:t>
      </w:r>
    </w:p>
    <w:p>
      <w:r>
        <w:t>Die mündliche Begründung des Urteils des Amtsgerichts durch dessen Vorsitzenden vom 12. August 2020 ist im Verhandlungsprotokoll nicht enthalten (vgl. S. 12). Die schriftliche Begründung des Urteils liegt noch nicht vor.</w:t>
      </w:r>
    </w:p>
    <w:p>
      <w:r>
        <w:t>Mit Schreiben vom 20. August 2020 ersuchte der Anwalt des Beschwerdeführers den Vorsitzenden des Amtsgerichts um Bestätigung der mündlichen Urteilsbegründung in verschiedener Hinsicht. Dem kam der Vorsitzende des Amtsgerichts mit Schreiben vom 21. August 2020 nach. Beide Schreiben ergingen nach dem angefochtenen Entscheid. Es handelt sich somit um unzulässige echte Noven ( Art. 99 Abs. 1 BGG ; BGE 143 V 19 E. 1.2 S. 22 f. mit Hinweisen).</w:t>
      </w:r>
    </w:p>
    <w:p>
      <w:r>
        <w:rPr>
          <w:b/>
        </w:rPr>
        <w:t>E. 3.1</w:t>
      </w:r>
    </w:p>
    <w:p>
      <w:r>
        <w:t>Der Beschwerdeführer bringt vor, in den Akten lägen die Notizen des Vorsitzenden des Amtsgerichts zur mündlichen Urteilsbegründung vom 12. August 2020. Diese habe die Vorinstanz ausser Acht gelassen. Damit habe sie den Anspruch des Beschwerdeführers auf rechtliches Gehör ( Art. 29 Abs. 2 BV , Art. 3 Abs. 2 lit. c StPO ) verletzt.</w:t>
      </w:r>
    </w:p>
    <w:p>
      <w:r>
        <w:rPr>
          <w:b/>
        </w:rPr>
        <w:t>E. 3.2</w:t>
      </w:r>
    </w:p>
    <w:p>
      <w:r>
        <w:t>Die Vorinstanz hat die Akten an das Amtsgericht zurückgeschickt zur Ausarbeitung der schriftlichen Urteilsbegründung. Dieses hat die Akten dem Bundesgericht zugesandt. Sie umfassen fünf Ordner. Ordner 1-4 enthalten die Akten der Staatsanwaltschaft. Ein weiterer Ordner enthält die Akten des Amtsgerichts. In diesem sind die vom Beschwerdeführer erwähnten Notizen nicht abgelegt. Sie liegen ihm in einem separaten Sichtmäppchen bei.</w:t>
      </w:r>
    </w:p>
    <w:p>
      <w:r>
        <w:t>Die Vorinstanz legt in der Vernehmlassung und Duplik dar, sie habe die Notizen in den Akten nicht gesehen. Dies spricht dafür, dass das Amtsgericht die Notizen der Vorinstanz nicht zugesandt hat. Wie es sich damit verhält, kann jedoch offen bleiben. Selbst wenn das Amtsgericht die Notizen der Vorinstanz zugesandt hätte, änderte sich am Ergebnis nichts.</w:t>
      </w:r>
    </w:p>
    <w:p>
      <w:r>
        <w:t>Gemäss Art. 100 StPO wird für jede Strafsache ein Aktendossier angelegt. Dieses enthält (a) die Verfahrens- und die Einvernahmeprotokolle, (b) die von der Strafbehörde zusammengetragenen Akten, (c) die von den Parteien eingereichten Akten (Abs. 1). Die Verfahrensleitung sorgt für die systematische Ablage der Akten und für deren fortlaufende Erfassung in einem Verzeichnis; in einfachen Fällen kann sie von einem Verzeichnis absehen (Abs. 2). Um einen einfachen Fall geht es hier nicht. Die Akten des Amtsgerichts müssten deshalb ein Verzeichnis enthalten. Ein solches fehlt. Die Notizen zur mündlichen Urteilsbegründung liegen den Akten sodann nur separat bei und sind in diesen nicht systematisch abgelegt. Dies spricht dafür, die Notizen nicht als Teil der Akten zu betrachten. Anders verhält es sich etwa bei Plädoyernotizen, die in den Akten abgelegt werden und auf die im Verfahrensprotokoll (vgl. Art. 77 StPO ) verwiesen wird. Ein derartiger Hinweis auf die Notizen zur mündlichen Urteilsbegründung fehlt im Verfahrensprotokoll des Amtsgerichts. Selbst wenn man die Notizen als Teil der Akten betrachten wollte, verletzte es das rechtliche Gehör des Beschwerdeführers nicht, wenn sie die Vorinstanz ausser Acht gelassen hat. Die Notizen sind mit Maschinenschrift auf neutralem Papier ohne amtliches Zeichen geschrieben und tragen keine Unterschrift. Damit fehlt ihnen die Beweiskraft. Selbst ein auf Papier mit dem Rubrum des Gerichts verfasstes Urteil ist ungültig und damit unbeachtlich, wenn es entgegen Art. 80 Abs. 2 StPO nicht unterschrieben ist (Urteil 6B_904/2015 vom 27. Mai 2016 E. 2.3.3 mit Hinweisen). Umso mehr muss das für blosse Notizen zur mündlichen Urteilsbegründung gelten. Die Rüge der Verletzung des rechtlichen Gehörs ist daher insoweit unbegründet.</w:t>
      </w:r>
    </w:p>
    <w:p>
      <w:r>
        <w:t>Kommt den Notizen keine Beweiskraft zu und sind sie deshalb unbeachtlich, hat die Vorinstanz den Anspruch des Beschwerdeführers auf rechtliches Gehör auch nicht verletzt, wenn sie sie ihm nicht zur Einsichtnahme zugestellt hat.</w:t>
      </w:r>
    </w:p>
    <w:p>
      <w:r>
        <w:rPr>
          <w:b/>
        </w:rPr>
        <w:t>E. 4</w:t>
      </w:r>
    </w:p>
    <w:p>
      <w:r>
        <w:t>Die Vorinstanz hat ihren Entscheid hinreichend begründet. Der darin enthaltene Verweis auf frühere Entscheide des Haftgerichts in der vorliegenden Sache und das bundesgerichtliche Urteil 1B_374/2019 vom 16. Oktober 2019 ist zulässig (vgl. BGE 123 I 31 E. 2 S. 33 ff.; Urteil 1B_374/2019 vom 16. Oktober 2019 E. 2.2 mit Hinweis). Auch insoweit kann der Vorinstanz keine Verletzung des Anspruchs des Beschwerdeführers auf rechtliches Gehör vorgeworfen werden.</w:t>
      </w:r>
    </w:p>
    <w:p>
      <w:r>
        <w:rPr>
          <w:b/>
        </w:rPr>
        <w:t>E. 5.1</w:t>
      </w:r>
    </w:p>
    <w:p>
      <w:r>
        <w:t>Gemäss Art. 237 StPO ordnet das zuständige Gericht an Stelle der Untersuchungs- oder Sicherheitshaft eine oder mehrere mildere Massnahmen an, wenn sie den gleichen Zweck wie die Haft erfüllen (Abs. 1). Anordnung und Anfechtung von Ersatzmassnahmen richten sich sinngemäss nach den Vorschriften über die Untersuchungs- und die Sicherheitshaft (Abs. 4). Auch Ersatzmassnahmen sind nur zulässig, wenn die Voraussetzungen der Untersuchungs- bzw. Sicherheitshaft erfüllt sind ( BGE 137 IV 122 E. 2 S. 125).</w:t>
      </w:r>
    </w:p>
    <w:p>
      <w:r>
        <w:t>Nach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5.2</w:t>
      </w:r>
    </w:p>
    <w:p>
      <w:r>
        <w:t>Der Beschwerdeführer bestreitet den dringenden Tatverdacht. Nach dem amtsgerichtlichen Urteil sei dieser nicht mehr gegeben.</w:t>
      </w:r>
    </w:p>
    <w:p>
      <w:r>
        <w:t>Das Bundesgericht bejahte im Urteil 1B_466/2018 vom 24. Oktober 2018 den dringenden Tatverdacht des Raubes nach Art. 140 Ziff. 1 StGB (E. 2.1). Der Beschwerdeführer macht geltend, das Amtsgericht habe lediglich auf versuchte Nötigung erkannt. Entgegen seinem Vorbringen lässt sich das dem Dispositiv des Urteils des Amtsgerichts entnehmen. Dieses führt dort die gesetzlichen Bestimmungen auf, auf die es sein Urteil stützt. Danach fällte es dieses unter anderem in Anwendung von Art. 181 i.V.m. Art. 22 StGB . Art. 140 StGB erwähnt das Amtsgericht nicht. Es nimmt somit offenkundig eine versuchte Nötigung nach Art. 181 i.V.m. Art. 22 Abs. 1 StGB an. Art. 181 StGB droht eine Freiheitsstrafe bis zu drei Jahren oder Geldstrafe an. Versuchte Nötigung stellt somit ein Vergehen dar ( Art. 10 Abs. 3 StGB ; MARCEL ALEXANDER NIGGLI, in: Basler Kommentar, Strafrecht I, 4. Aufl. 2019, N. 44 zu Art. 10 StGB ). Damit ändert sich am dringenden Tatverdacht nichts. Dieser kann sich gemäss Art. 221 Abs. 1 StPO nicht nur auf ein Verbrechen wie Raub ( Art. 140 StGB ) beziehen, sondern auch auf ein Vergehen. Die Beschwerde ist im vorliegenden Punkt daher unbegründet.</w:t>
      </w:r>
    </w:p>
    <w:p>
      <w:r>
        <w:rPr>
          <w:b/>
        </w:rPr>
        <w:t>E. 5.3</w:t>
      </w:r>
    </w:p>
    <w:p>
      <w:r>
        <w:t>Der Beschwerdeführer macht geltend, es fehle an der Wiederholungsgefahr.</w:t>
      </w:r>
    </w:p>
    <w:p>
      <w:r>
        <w:t>Der psychiatrische Sachverständige diagnostiziert in seinem Gutachten vom 29. Mai 2019 beim Beschwerdeführer eine kokaininduzierte wahnhafte psychotische Störung sowie eine Abhängigkeit von Kokain, Alkohol und Opioiden. Der Vorfall vom 26. Juli 2018 im Verkaufsgeschäft sei ausschliesslich wahnhaft bedingt. Der Beschwerdeführer sei aus psychiatrischer Sicht schuldunfähig. Zweifellos sei er behandlungsbedürftig. Erste Priorität habe die Behandlung der Suchtkrankheit, weil sich die anderen Störungen, insbesondere das wahnhafte Zustandsbild und das episodisch auftretende depressive Zustandsbild, mit grosser Wahrscheinlichkeit darauf zurückführen liessen. Es bestehe eine erhebliche Rückfallgefahr, solange die Störung nicht behandelt und der Beschwerdeführer nicht abstinent von Alkohol und illegalen psychotropen Substanzen sei.</w:t>
      </w:r>
    </w:p>
    <w:p>
      <w:r>
        <w:t>Das Bundesgericht erwog im Urteil 1B_374/2019 vom 16. Oktober 2019, wie sich dem Gutachten entnehmen lasse, seien beim Beschwerdeführer im Dezember 2018 sowie Januar, März und April 2019 kokainpositive Urinbefunde festgestellt worden. Dies spreche dagegen, dass er seine Drogensucht überwunden habe. Er behaupte das auch nicht. Bei dieser Sachlage müsse damit gerechnet werden, dass er zufolge Drogenkonsums erneut Wahnvorstellungen entwickeln könnte. Dass er in diesem Zustand unberechenbar sei und Gewalthandlungen begehen könnte, ergebe sich aus dem Gutachten. Das Risiko von Gewalthandlungen sei erheblich. Es gehe insoweit um den Schutz von Leib und Leben und damit das höchste Rechtsgut. Deshalb seien nach der Rechtsprechung die Anforderungen an die Rückfallgefahr entsprechend tiefer anzusetzen. Ausgehend davon verletze es kein Bundesrecht, wenn die Vorinstanz die Rückfallgefahr als genügend hoch für die Annahme von Wiederholungsgefahr eingestuft habe (E. 5.4).</w:t>
      </w:r>
    </w:p>
    <w:p>
      <w:r>
        <w:t>Bereits im Urteil 1B_466/2018 vom 24. Oktober 2018 befand das Bundesgericht, die Annahme von Wiederholungsgefahr lasse sich rechtfertigen. In der verqueren bzw. kranken Logik des Beschwerdeführers erscheine es naheliegend, dass er ein noch schwereres als das ihm von der Staatsanwaltschaft vorgeworfene Delikt begehen könnte (E. 2.3).</w:t>
      </w:r>
    </w:p>
    <w:p>
      <w:r>
        <w:t>Der Beschwerdeführer bringt nichts vor, was zu einer abweichenden Beurteilung führen könnte. Insbesondere macht er nicht geltend, er habe seine Alkohol- und Drogensucht überwunden. Damit muss er weiterhin als unberechenbar eingestuft werden. Wenn die Vorinstanz Wiederholungsgefahr bejaht hat, hält das daher vor Bundesrecht stand. Dies gilt jedenfalls, wenn man berücksichtigt, dass - was der Beschwerdeführer übergeht - nach der Rechtsprechung bei Ersatzmassnahmen an die Wiederholungsgefahr weniger hohe Anforderungen zu stellen sind als bei Haft (Urteil 1B_489/2018 vom 21. November 2018 E. 2 mit Hinweisen).</w:t>
      </w:r>
    </w:p>
    <w:p>
      <w:r>
        <w:rPr>
          <w:b/>
        </w:rPr>
        <w:t>E. 6</w:t>
      </w:r>
    </w:p>
    <w:p>
      <w:r>
        <w:t>Der Beschwerdeführer macht geltend, die Ersatzmassnahmen seien nicht mehr verhältnismässig.</w:t>
      </w:r>
    </w:p>
    <w:p>
      <w:r>
        <w:t>Das Bundesgericht hat sich bereits im Urteil 1B_374/2019 vom 16. Oktober 2019 zur Verhältnismässigkeit der Ersatzmassnahmen geäussert. Es erwog, es gehe um den Schutz von Leib und Leben. Berücksichtige man dies, seien die angeordneten Ersatzmassnahmen als verhältnismässig anzusehen. Sie seien nicht besonders einschneidend und ihre Befolgung liege letztlich im Interesse des Beschwerdeführers selber, da sie ihm helfen sollen, seine Alkohol- und Drogensucht und das damit in Zusammenhang stehende psychische Leiden zu überwinden. Die angeordneten Kontrollen seien unerlässlich, da nur so festgestellt werden könne, ob der Beschwerdeführer weiterhin Alkohol und Drogen konsumiere (E. 6).</w:t>
      </w:r>
    </w:p>
    <w:p>
      <w:r>
        <w:t>Diese Erwägungen haben nach wie vor ihre Gültigkeit. Die Beschwerde ist daher auch im vorliegenden Punkt unbegründet.</w:t>
      </w:r>
    </w:p>
    <w:p>
      <w:r>
        <w:rPr>
          <w:b/>
        </w:rPr>
        <w:t>E. 7</w:t>
      </w:r>
    </w:p>
    <w:p>
      <w:r>
        <w:t>Der Beschwerdeführer bringt vor, die Vorinstanz habe die Ersatzmassnahmen für die gesamte Dauer des Berufungsverfahrens angeordnet. Sie hätte die Ersatzmassnahmen jedoch auf drei Monate befristen müssen.</w:t>
      </w:r>
    </w:p>
    <w:p>
      <w:r>
        <w:t>Das Vorbringen ist unbegründet. Gemäss Art. 227 Abs. 7 StPO wird die Verlängerung der Untersuchungshaft jeweils für längstens 3 Monate, in Ausnahmefällen für längstens 6 Monate bewilligt. Nach der Rechtsprechung erfolgt mangels Verweises auf diese Bestimmung keine periodische Überprüfung der Sicherheitshaft, sobald das Berufungsgericht mit der Sache befasst ist. Dieses kann Sicherheitshaft bis zum Berufungsurteil anordnen ( BGE 139 IV 186 E. 2.2.3 S. 189 ff.). Dasselbe muss erst recht gelten für Ersatzmassnahmen anstelle von Sicherheitshaft, da sie weniger in die Grundrechte eingreifen.</w:t>
      </w:r>
    </w:p>
    <w:p>
      <w:r>
        <w:rPr>
          <w:b/>
        </w:rPr>
        <w:t>E. 8</w:t>
      </w:r>
    </w:p>
    <w:p>
      <w:r>
        <w:t>Der Beschwerdeführer beruft sich in der Triplik auf das kürzlich ergangene Urteil des Europäischen Gerichtshofes für Menschenrechte in Sachen</w:t>
      </w:r>
    </w:p>
    <w:p>
      <w:r>
        <w:t>I.S. gegen Schweiz vom 6. Oktober 2020. Dieses betrifft Art. 5 EMRK , der die Voraussetzungen der Freiheitsentziehung regelt. Darum geht es hier nicht. Die dem Beschwerdeführer auferlegten Ersatzmassnahmen stellen keine Freiheitsentziehung dar (vgl. BJÖRN ELBERLING, in: Karpenstein/Mayer, Konvention zum Schutz der Menschenrechte und Grundfreiheiten, Kommentar, 2. Aufl. 2015, N. 11 zu Art. 5 EMRK ). Aus dem Urteil</w:t>
      </w:r>
    </w:p>
    <w:p>
      <w:r>
        <w:t>I.S. gegen Schweiz kann der Beschwerdeführer daher nichts herleiten.</w:t>
      </w:r>
    </w:p>
    <w:p>
      <w:r>
        <w:rPr>
          <w:b/>
        </w:rPr>
        <w:t>E. 9</w:t>
      </w:r>
    </w:p>
    <w:p>
      <w:r>
        <w:t>Die Beschwerde ist demnach abzuweisen, soweit darauf eingetreten werden kann. Da sie aussichtslos war, kann die unentgeltliche Rechtspflege und Verbeiständung nach Art. 64 BGG nicht bewilligt werden. In Anbetracht der finanziellen Verhältnisse des Beschwerdeführers - er lebt von der Invalidenversicherung und der Sozialhilfe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