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461/2019 vom 16. Oktober 2019</w:t>
      </w:r>
    </w:p>
    <w:p>
      <w:r>
        <w:t>Bundesgericht, 2019-10-16, DE</w:t>
      </w:r>
    </w:p>
    <w:p>
      <w:r>
        <w:rPr>
          <w:b/>
        </w:rPr>
        <w:t xml:space="preserve">Quelle: </w:t>
      </w:r>
      <w:r>
        <w:t>https://mcp.opencaselaw.ch/entscheid/bger_1B_461_2019</w:t>
      </w:r>
    </w:p>
    <w:p>
      <w:r>
        <w:t>FR: TF 1B 461/2019 du 16 octobre 2019</w:t>
      </w:r>
    </w:p>
    <w:p>
      <w:r>
        <w:t>IT: TF 1B 461/2019 del 16 ottobre 2019</w:t>
      </w:r>
    </w:p>
    <w:p>
      <w:pPr>
        <w:pStyle w:val="Heading2"/>
      </w:pPr>
      <w:r>
        <w:t>Regeste</w:t>
      </w:r>
    </w:p>
    <w:p>
      <w:r>
        <w:t>Strafverfahren; Sicherheitsleistung | Strafprozess</w:t>
      </w:r>
    </w:p>
    <w:p>
      <w:pPr>
        <w:pStyle w:val="Heading2"/>
      </w:pPr>
      <w:r>
        <w:t>Erwägungen</w:t>
      </w:r>
    </w:p>
    <w:p>
      <w:r>
        <w:rPr>
          <w:b/>
        </w:rPr>
        <w:t>E. 1</w:t>
      </w:r>
    </w:p>
    <w:p>
      <w:r>
        <w:t>Die Regionale Staatsanwaltschaft Bern-Mittelland nahm mit Verfügung vom 12. Juli 2019 das Verfahren gegen diverse Behörden, Richter und Politiker wegen angeblichen Verfehlungen nicht an die Hand. Die erhobenen Vorwürfe gegen verschiedene Magistratspersonen, Behördenmitglieder und Richter, soweit sie überhaupt in die örtliche Zuständigkeit der Staatsanwaltschaft Region Bern-Mittelland fallen würden, seien inhaltlich haltlos und strafrechtlich offensichtlich irrelevant. A.________ erhob gegen die Nichtanhandnahmeverfügung Beschwerde. Die Beschwerdekammer in Strafsachen des Obergerichts des Kantons Bern forderte ihn mit Verfügung vom 6. August 2019 auf, innert 10 Tagen eine Sicherheit von Fr. 500.-- zu leisten. Mit Schreiben vom 21. August 2019 ersuchte A.________ sinngemäss um Erteilung der unentgeltlichen Rechtspflege. Die Beschwerdekammer in Strafsachen des Obergerichts des Kantons Bern wies das Gesuch mit Verfügung vom 27. August 2019 ab und forderte A.________ nochmals auf, innert 30 Tagen eine Sicherheit von Fr. 500.-- zu leisten, ansonsten auf das Rechtsmittel nicht eingetreten werde. Zur Begründung führte die Beschwerdekammer in Strafsachen zusammenfassend aus, dass die Beschwerde gegen die Nichtanhandnahme des Strafverfahrens gegen diverse Amtspersonen als aussichtslos erscheine.</w:t>
      </w:r>
    </w:p>
    <w:p>
      <w:r>
        <w:rPr>
          <w:b/>
        </w:rPr>
        <w:t>E. 2</w:t>
      </w:r>
    </w:p>
    <w:p>
      <w:r>
        <w:t>Mit Eingabe vom 12. September 2019 erhob A.________ bei der Staatsanwaltschaft des Kantons Bern "Einsprache" gegen die Verfügung der Beschwerdekammer in Strafsachen des Obergerichts des Kantons Bern vom 27. August 2019. Die Staatsanwaltschaft überwies die Eingabe mit Schreiben vom 17. September 2019 zuständigkeitshalber dem Bundesgericht. Mit weiteren Eingaben vom 20. September 2019 sowie 3. und 4. Oktober 2019 ergänzte A.________ seine Beschwerde.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nicht sachbezogenen Ausführungen nicht aufzuzeigen, dass die Beschwerdekammer in Strafsachen Recht im Sinne von Art. 42 Abs. 2 BGG verletzt hätte, als sie seine Beschwerde gegen die Nichtanhandnahmeverfügung der Regionalen Staatsanwaltschaft Bern-Mittelland als aussichtslos beurteilte und deshalb das Gesuch um unentgeltliche Rechtspflege abwies. Der Beschwerdeführer legt nicht verständlich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