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1B_460/2021 vom 26. August 2021</w:t>
      </w:r>
    </w:p>
    <w:p>
      <w:r>
        <w:t>Bundesgericht, 2021-08-26, DE</w:t>
      </w:r>
    </w:p>
    <w:p>
      <w:r>
        <w:rPr>
          <w:b/>
        </w:rPr>
        <w:t xml:space="preserve">Quelle: </w:t>
      </w:r>
      <w:r>
        <w:t>https://mcp.opencaselaw.ch/entscheid/bger_1B_460_2021</w:t>
      </w:r>
    </w:p>
    <w:p>
      <w:r>
        <w:t>FR: TF 1B_460/2021 du 26 août 2021</w:t>
      </w:r>
    </w:p>
    <w:p>
      <w:r>
        <w:t>IT: TF 1B_460/2021 del 26 agosto 2021</w:t>
      </w:r>
    </w:p>
    <w:p>
      <w:pPr>
        <w:pStyle w:val="Heading2"/>
      </w:pPr>
      <w:r>
        <w:t>Erwägungen</w:t>
      </w:r>
    </w:p>
    <w:p>
      <w:r>
        <w:rPr>
          <w:b/>
        </w:rPr>
        <w:t>E. 1</w:t>
      </w:r>
    </w:p>
    <w:p>
      <w:r>
        <w:t>Die Staatsanwaltschaft Zürich-Limmat führt gegen A.________ ein Strafverfahren wegen Sachbeschädigung und weiteren Delikten. Weil die Staatsanwaltschaft von einer Sachbeschädigung von über Fr. 10'000.--, Diebstahl bzw. Sachentziehung sowie weiteren Delikten ausging, wurde für die polizeiliche Einvernahme Rechtsanwalt B.________ als Anwalt der ersten Stunde für die Angeschuldigte aufgeboten. Anlässlich der Einvernahme erklärte sie, sie sei damit einverstanden, dass Rechtsanwalt B.________ ihre Rechte im Verfahren vertrete. Am Ende der Einvernahme beantragte Rechtsanwalt B.________ seine Einsetzung als amtlicher Verteidiger von A.________.</w:t>
      </w:r>
    </w:p>
    <w:p>
      <w:r>
        <w:t>Die Oberstaatsanwaltschaft des Kantons Zürich bestellte mit Verfügung vom 25. November 2020 Rechtsanwalt B.________ als amtlichen Verteidiger von A.________. Die dagegen von A.________ erhobene Beschwerde wies das Obergericht des Kantons Zürich mit Beschluss vom 5. März 2021 ab.</w:t>
      </w:r>
    </w:p>
    <w:p>
      <w:r>
        <w:rPr>
          <w:b/>
        </w:rPr>
        <w:t>E. 2</w:t>
      </w:r>
    </w:p>
    <w:p>
      <w:r>
        <w:t>Die Oberstaatsanwaltschaft des Kantons Zürich bestellte mit Verfügung vom 7. April 2021 Rechtsanwalt B.________ für ein weiteres bei der Staatsanwaltschaft Zürich-Limmat gegen A.________ geführtes Verfahren betreffend Beschimpfung etc. als amtlichen Verteidiger. Dagegen erhob A.________ mit Eingaben vom 14. und 18. April 2021 Beschwerde, welche die III. Strafkammer des Obergerichts des Kantons Zürich mit Beschluss vom 4. Juni 2021 abwies. Zur Begründung führte die III. Strafkammer zusammenfassend aus, dass die Oberstaatsanwaltschaft zu Recht Rechtsanwalt B.________ auch zum amtlichen Verteidiger betreffend die Untersuchung zu den neuen Vorwürfen ernannt habe. Es bleibe A.________ jedoch unbenommen, eine eigene Wahlverteidigung zu ernennen.</w:t>
      </w:r>
    </w:p>
    <w:p>
      <w:r>
        <w:rPr>
          <w:b/>
        </w:rPr>
        <w:t>E. 3</w:t>
      </w:r>
    </w:p>
    <w:p>
      <w:r>
        <w:t>A.________ führt mit Eingabe vom 23. August 2021 Beschwerde in Strafsachen gegen den Beschluss der III. Strafkammer des Obergerichts des Kantons Zürich vom 4. Juni 2021.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III. Strafkammer, die zur Abweisung der Beschwerde führte, nur teilweise - wenn überhaupt - auseinander. Sie vermag nicht im Einzelnen und konkret aufzuzeigen, inwiefern diese Begründung oder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