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460/2013 vom 22. Januar 2014</w:t>
      </w:r>
    </w:p>
    <w:p>
      <w:r>
        <w:t>Bundesgericht, 2014-01-22, FR</w:t>
      </w:r>
    </w:p>
    <w:p>
      <w:r>
        <w:rPr>
          <w:b/>
        </w:rPr>
        <w:t xml:space="preserve">Quelle: </w:t>
      </w:r>
      <w:r>
        <w:t>https://mcp.opencaselaw.ch/entscheid/bger_1B_460_2013</w:t>
      </w:r>
    </w:p>
    <w:p>
      <w:r>
        <w:t>FR: TF 1B 460/2013 du 22 janvier 2014</w:t>
      </w:r>
    </w:p>
    <w:p>
      <w:r>
        <w:t>IT: TF 1B 460/2013 del 22 gennaio 2014</w:t>
      </w:r>
    </w:p>
    <w:p>
      <w:pPr>
        <w:pStyle w:val="Heading2"/>
      </w:pPr>
      <w:r>
        <w:t>Regeste</w:t>
      </w:r>
    </w:p>
    <w:p>
      <w:r>
        <w:t>maintien en détention pour des motifs de sûreté | Procédure pénale</w:t>
      </w:r>
    </w:p>
    <w:p>
      <w:pPr>
        <w:pStyle w:val="Heading2"/>
      </w:pPr>
      <w:r>
        <w:t>Erwägungen</w:t>
      </w:r>
    </w:p>
    <w:p>
      <w:r>
        <w:rPr>
          <w:b/>
        </w:rPr>
        <w:t>E. 1</w:t>
      </w:r>
    </w:p>
    <w:p>
      <w:r>
        <w:t>Le recours en matière pénale ( art. 78 al. 1 LTF ) est en principe ouvert contre une décision relative à la détention provisoire ou pour motifs de sûreté au sens des art. 212 ss CPP ( ATF 137 IV 22 consid. 1 p. 23). Selon l'art. 81 al. 1 let. a et b ch. 1 LTF, le prévenu a qualité pour agir. Le recours est formé en temps utile contre une décision rendue en dernière instance cantonale ( art. 80 LTF ) et les conclusions présentées sont recevables au regard de l' art. 107 al. 2 LTF .</w:t>
      </w:r>
    </w:p>
    <w:p>
      <w:r>
        <w:rPr>
          <w:b/>
        </w:rPr>
        <w:t>E. 2</w:t>
      </w:r>
    </w:p>
    <w:p>
      <w:r>
        <w:t>Une mesure de détention avant jugement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2 et 3 CPP ). Pour que tel soit le cas, la privation de liberté doit être justifiée par les besoins de l'instruction, un risque de fuite ou un danger de collusion ou de réitération (art. 221 al. 1 let. a, b et c CPP). Préalablement à ces conditions, il doit exister à l'égard de l'intéressé des charges suffisantes, soit de sérieux soupçons de culpabilité ( art. 221 al. 1 CPP ; art. 5 par. 1 let . c CEDH).</w:t>
      </w:r>
    </w:p>
    <w:p>
      <w:r>
        <w:rPr>
          <w:b/>
        </w:rPr>
        <w:t>E. 3</w:t>
      </w:r>
    </w:p>
    <w:p>
      <w:r>
        <w:t>Le recourant ne conteste pas l'existence de charges suffisantes. Il nie en revanche le risque de récidive au sens de l' art. 221 al. 1 let . c CPP.</w:t>
      </w:r>
    </w:p>
    <w:p>
      <w:r>
        <w:rPr>
          <w:b/>
        </w:rPr>
        <w:t>E. 3.1</w:t>
      </w:r>
    </w:p>
    <w:p>
      <w:r>
        <w:t>Le recourant fait tout d'abord valoir que l'autorité de recours ne pouvait substituer le risque de réitération au risque de fuite, seul retenu en première instance par le Tribunal correctionnel. Le recourant perd cependant de vue que l'autorité de recours applique le droit d'office, qu'elle n'est pas liée par les motifs invoqués par les parties ( art. 391 al. 1 let. a CPP ) et qu'elle dispose d'un plein pouvoir d'examen, en fait comme en droit ( art. 393 al. 2 CPP ; cf. arrêt 1B_768/2012 du 15 janvier 2013 consid. 2.1 et les références citées). La Cour de justice était dès lors en droit de retenir le risque de réitération qui n'était pas évoqué dans la décision entreprise du 26 novembre 2013. Enfin, le recourant ne prétend pas, à juste titre, qu'il ne pouvait raisonnablement prévoir l'application de l' art. 221 al. 1 let . c CPP relatif au risque de récidive. Il a en effet été informé de la position du Ministère public qui considérait que, outre le risque de fuite, celui de réitération était patent en l'espèce (cf. observations du Ministère public du 9 décembre 2013). Le recourant s'est d'ailleurs exprimé sur ce point dans ses observations du 11 décembre 2013. Sa critique est dès lors infondée.</w:t>
      </w:r>
    </w:p>
    <w:p>
      <w:r>
        <w:rPr>
          <w:b/>
        </w:rPr>
        <w:t>E. 3.2</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et les arrêts cités).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123 I 268 consid. 2e p. 271).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in SJ 2011 I p. 487).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3.3</w:t>
      </w:r>
    </w:p>
    <w:p>
      <w:r>
        <w:t>En l'espèce, les antécédents du recourant constituent un indice important au sujet du risque de réitération. Il a été condamné à deux reprises en 2010 et 2012 pour injures, menaces ainsi que violence ou menace contre les autorités et les fonctionnaires. De plus, malgré un précédent séjour en prison de plus de trois semaines en 2011 pour des actes graves commis en mai 2011 à l'encontre de deux mineurs (prise d'otage), le recourant s'est rendu coupable en mars 2013 d'une infraction grave contre le patrimoine et l'intégrité d'autrui; alors que le recourant était encore sous le coup d'un sursis, il n'a pas hésité, lors d'une tentative de brigandage dans une station-service, à menacer la caissière avec un pistolet. Comme relevé par l'instance précédente, les faits commis en mars 2013 consacrent une évolution inquiétante de la dangerosité du recourant. Ces éléments apparaissent suffisants pour retenir un risque concret de réitération. L'arrêt attaqué ne prête pas le flanc à la critique sur ce point. Enfin, contrairement à ce que semble prétendre le recourant, en fixant la durée de la peine ferme à 18 mois, le juge du fond a précisément voulu éviter une remise en liberté après six mois seulement de détention préventive. Le grief du recourant doit donc être rejeté.</w:t>
      </w:r>
    </w:p>
    <w:p>
      <w:r>
        <w:rPr>
          <w:b/>
        </w:rPr>
        <w:t>E. 3.4</w:t>
      </w:r>
    </w:p>
    <w:p>
      <w:r>
        <w:t>Conformément au principe de proportionnalité ( art. 36 al. 3 Cst. ), il convient encore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 Le recourant réitère les mesures de substitution proposées devant l'instance précédente (obligation d'avoir un travail régulier; obligation de se soumettre à un traitement psychothérapeutique; obligation de se présenter chaque semaine à un poste de police; fourniture d'une caution de 30'000.-). Or la Cour de justice a exposé de manière convaincante que ces mesures, même cumulées, étaient insuffisantes pour pallier le risque de récidive, étant relevé en particulier que le versement de sûretés n'entre pas en considération s'agissant de ce risque (cf. art. 238 al. 1 CPP a contrario; arrêt 1B_777/2012 du 15 janvier 2013 consid. 3.3). Certains éléments invoqués par le recourant (démarches entreprises pour se soumettre à un suivi psychothérapeutique; réconciliation avec sa mère) sont certes positifs; ils ne permettent toutefois pas en l'état, compte tenu de l'intensité de risque de récidive, de remettre en cause l'appréciation de l'instance précédente. La protection de la sécurité publique doit en l'espèce l'emporter sur l'intérêt personnel du prévenu à retrouver la liberté.</w:t>
      </w:r>
    </w:p>
    <w:p>
      <w:r>
        <w:rPr>
          <w:b/>
        </w:rPr>
        <w:t>E. 3.5</w:t>
      </w:r>
    </w:p>
    <w:p>
      <w:r>
        <w:t>Le risque de réitération étant avéré en l'espèce, point n'est besoin d'examiner plus avant la question du risque de fuite également soulevée par le recourant.</w:t>
      </w:r>
    </w:p>
    <w:p>
      <w:r>
        <w:rPr>
          <w:b/>
        </w:rPr>
        <w:t>E. 4</w:t>
      </w:r>
    </w:p>
    <w:p>
      <w:r>
        <w:t>ll s'ensuit que le recours doit être rejeté. Le recourant a demandé l'assistance judiciaire et les conditions en paraissent réunies ( art. 64 al. 1 LTF ). Il y a lieu de désigner Me Robert Assael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