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45/2014 vom 5. Mai 2014</w:t>
      </w:r>
    </w:p>
    <w:p>
      <w:r>
        <w:t>Bundesgericht, 2014-05-05, DE</w:t>
      </w:r>
    </w:p>
    <w:p>
      <w:r>
        <w:rPr>
          <w:b/>
        </w:rPr>
        <w:t xml:space="preserve">Quelle: </w:t>
      </w:r>
      <w:r>
        <w:t>https://mcp.opencaselaw.ch/entscheid/bger_1B_45_2014</w:t>
      </w:r>
    </w:p>
    <w:p>
      <w:r>
        <w:t>FR: TF 1B 45/2014 du 5 mai 2014</w:t>
      </w:r>
    </w:p>
    <w:p>
      <w:r>
        <w:t>IT: TF 1B 45/2014 del 5 maggio 2014</w:t>
      </w:r>
    </w:p>
    <w:p>
      <w:pPr>
        <w:pStyle w:val="Heading2"/>
      </w:pPr>
      <w:r>
        <w:t>Regeste</w:t>
      </w:r>
    </w:p>
    <w:p>
      <w:r>
        <w:t>Einstellungsverfügung der Staatsanwaltschaft; Eintretensfrage | Strafprozess</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139 V 42 E. 1 S. 44 ; 138 I 367 E. 1 S. 369; 138 III 471 E. 1 S. 475).</w:t>
      </w:r>
    </w:p>
    <w:p>
      <w:r>
        <w:rPr>
          <w:b/>
        </w:rPr>
        <w:t>E. 2</w:t>
      </w:r>
    </w:p>
    <w:p>
      <w:r>
        <w:t>Der Begriff "Entscheide in Strafsachen" gemäss Art. 78 Abs. 1 BGG umfasst sämtliche Entscheidungen, denen materielles Strafrecht oder Strafprozessrecht zu Grunde liegt (vgl. BGE 133 I 270 E. 1.1 S. 273). Der angefochtene Entscheid stützt sich auf Art. 319 Abs. 1 lit. b StPO und damit auf Strafprozessrecht des Bundes. Dagegen steht grundsätzlich die Beschwerde in Strafsachen zur Verfügung.</w:t>
      </w:r>
    </w:p>
    <w:p>
      <w:r>
        <w:rPr>
          <w:b/>
        </w:rPr>
        <w:t>E. 3.1</w:t>
      </w:r>
    </w:p>
    <w:p>
      <w:r>
        <w:t>Mit dem angefochtenen Beschluss beschloss die Vorinstanz, auf die bei ihr erhobene Beschwerde einzutreten. In der Sache muss sie aber noch entscheiden. Der Eintretensbeschluss schliesst das Verfahren nicht ab, sondern stellt einen Zwischenentscheid dar. Er wurde selbständig eröffnet.</w:t>
      </w:r>
    </w:p>
    <w:p>
      <w:r>
        <w:rPr>
          <w:b/>
        </w:rPr>
        <w:t>E. 3.2</w:t>
      </w:r>
    </w:p>
    <w:p>
      <w:r>
        <w:t>Gegen selbständig eröffnete Vor- und Zwischenentscheide, die wie hier weder die Zuständigkeit noch den Ausstand betreffen, ist die Beschwerde nur zulässig, wenn alternativ der Vor- und Zwischenentscheid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3.2.1</w:t>
      </w:r>
    </w:p>
    <w:p>
      <w:r>
        <w:t>Die Durchführung eines Strafverfahrens begründet nach konstanter Rechtsprechung keinen Nachteil rechtlicher Natur im Sinne von Art. 93 Abs. 1 lit. a BGG , der mit einem für die beschuldigte Person günstigen Entscheid nicht behoben werden könnte ( BGE 133 IV 139 E. 4 S. 140 f.).</w:t>
      </w:r>
    </w:p>
    <w:p>
      <w:r>
        <w:rPr>
          <w:b/>
        </w:rPr>
        <w:t>E. 3.2.2</w:t>
      </w:r>
    </w:p>
    <w:p>
      <w:r>
        <w:t>Ebenso fällt eine Anfechtung gestützt auf Art. 93 Abs. 1 lit. b BGG ausser Betracht. Bei Gutheissung des Antrags des Beschwerdeführers läge zwar ein Endentscheid vor. Kumulativ erforderlich ist jedoch, dass damit ein bedeutender Aufwand an Zeit oder Kosten für ein weitläufiges Beweisverfahren erspart würde. Das Bundesgericht legt diese Voraussetzung im Strafverfahren restriktiv aus (vgl. Urteile 1C_585/2013 vom 17. September 2013 E. 1.2.2 sowie 1B_155/2011 vom 14. Juni 2011 E. 1.4). Die Regelung von Art. 93 Abs. 1 BGG dient nicht in erster Linie den Interessen der Verfahrensbeteiligten, sondern soll das Bundesgericht entlasten, weshalb die Ausnahmen zurückhaltend zu handhaben sind (vgl. SEILER/VON WERDT/GÜNGERICH, Bundesgerichtsgesetz [BGG], 2007, N. 11 zu Art. 93 BGG ).</w:t>
      </w:r>
    </w:p>
    <w:p>
      <w:r>
        <w:rPr>
          <w:b/>
        </w:rPr>
        <w:t>E. 3.2.3</w:t>
      </w:r>
    </w:p>
    <w:p>
      <w:r>
        <w:t>Mit einer bedeutsamen Einsparung ist hier nicht zu rechnen: Muss die Vorinstanz über die bei ihr hängige Beschwerde inhaltlich entscheiden, geht es nur um die Frage der Einstellung des Strafverfahrens nach Art. 319 Abs. 1 lit. b StPO , d.h. wegen Fehlens eines Straftatbestandes. Damit ist voraussichtlich kein grosser Aufwand an Kosten bzw. zusätzlichen Beweismassnahmen verbunden. Bei einer allfälligen Bestätigung der Einstellung könnte unmittelbar auch lediglich der Einstellungsentscheid beim Bundesgericht angefochten werden. Eine Aufhebung der Einstellungsverfügung wäre zwar mit Weiterungen verbunden. Diese blieben aber angesichts des in Frage stehenden Delikts überschaubar; überdies wären sie nach der Gesetzeslage in Kauf zu nehmen und würden keinen Vorrang beanspruchen, ist doch die Anklageerhebung als solche nicht anfechtbar (vgl. Art. 324 Abs. 2 StPO ). Im Übrigen blieben die Parteirechte des Beschwerdeführers im Strafverfahren gewahrt.</w:t>
      </w:r>
    </w:p>
    <w:p>
      <w:r>
        <w:rPr>
          <w:b/>
        </w:rPr>
        <w:t>E. 3.2.4</w:t>
      </w:r>
    </w:p>
    <w:p>
      <w:r>
        <w:t>Ist mithin weder mit der Ersparnis eines bedeutenden Aufwandes an Zeit oder Kosten noch eines weitläufigen Beweisverfahrens zu rechnen, erweist sich die Beschwerde gegen den angefochtenen Zwischenentscheid als unzulässig.</w:t>
      </w:r>
    </w:p>
    <w:p>
      <w:r>
        <w:rPr>
          <w:b/>
        </w:rPr>
        <w:t>E. 4</w:t>
      </w:r>
    </w:p>
    <w:p>
      <w:r>
        <w:t>Somit ist auf die Beschwerde nicht einzutreten. Bei diesem Verfahrensausgang trägt der unterliegende Beschwerdeführer die Verfahrenskosten ( Art. 66 Abs. 1, Art. 65 BGG ). Überdies hat er die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