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459/2016 vom 9. Januar 2017</w:t>
      </w:r>
    </w:p>
    <w:p>
      <w:r>
        <w:t>Bundesgericht, 2017-01-09, FR</w:t>
      </w:r>
    </w:p>
    <w:p>
      <w:r>
        <w:rPr>
          <w:b/>
        </w:rPr>
        <w:t xml:space="preserve">Quelle: </w:t>
      </w:r>
      <w:r>
        <w:t>https://mcp.opencaselaw.ch/entscheid/bger_1B_459_2016</w:t>
      </w:r>
    </w:p>
    <w:p>
      <w:r>
        <w:t>FR: TF 1B 459/2016 du 9 janvier 2017</w:t>
      </w:r>
    </w:p>
    <w:p>
      <w:r>
        <w:t>IT: TF 1B 459/2016 del 9 gennaio 2017</w:t>
      </w:r>
    </w:p>
    <w:p>
      <w:pPr>
        <w:pStyle w:val="Heading2"/>
      </w:pPr>
      <w:r>
        <w:t>Regeste</w:t>
      </w:r>
    </w:p>
    <w:p>
      <w:r>
        <w:t>Procédure pénale; séquestre | Procédure pénale</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nonobstant leur caractère incident ( ATF 140 IV 57 consid. 2.3 p. 60). Les recourantes, titulaires du compte séquestré, ont qualité pour recourir (art. 81 al. 1 let. b ch. 1 LTF) et ont agi en temps utile ( art. 100 al. 1 LTF ).</w:t>
      </w:r>
    </w:p>
    <w:p>
      <w:r>
        <w:rPr>
          <w:b/>
        </w:rPr>
        <w:t>E. 2</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1B_145/2016 du 1 er juillet 2016 consid. 3.1 et les arrêts cités). Les probabilités d'une confiscation, respectivement du prononcé d'une créance compensatrice, doivent cependant se renforcer au cours de l'instruction ( ATF 122 IV 91 consid. 4 p. 96; arrêt 1B_416/2012 du 30 octobre 2012 consid. 2.1).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3</w:t>
      </w:r>
    </w:p>
    <w:p>
      <w:r>
        <w:t>Les recourantes contestent que le compte n° www ait été exclusivement alimenté depuis des relations contrôlées par C.________, respectivement que l'ensemble des actifs déposés serait probablement d'origine criminelle comme l'a retenu le Ministère public de la Confédération. Cette constatation ne trouverait aucun fondement dans les pièces du dossier. Les avoirs détenus sur ce compte proviendraient de la liquidation du compte de J.________ majoritairement constitué de "rendements d'applications" [recte: rendements d'obligations], de paiement de dividendes et d'intérêts. Il est en outre plausible que F.________ ait pu faire des économies issues des revenus réguliers de son activité au sein du groupe M.________ (soit un million USD par année). Sous la perspective de l' art. 376 CPP , il serait adéquat de laisser subsister le séquestre sur 800'000 fr. correspondant aux avoirs sous enquête d'un montant de 719'000 USD auxquels il y a lieu d'ajouter les coûts judiciaires estimés et l'intérêt. Le Ministère public de la Confédération a certes affirmé que le compte n° www a été exclusivement alimenté depuis des relations contrôlées par C.________. Il a toutefois aussi précisé qu'à l'heure actuelle, l'origine des avoirs se trouvant sur ce compte n'était pas établie et que des investigations complémentaires sont nécessaires, ajoutant que les analyses des comptes se poursuivent et que, dans l'intervalle, le séquestre de l'ensemble des avoirs déposés sur ce compte est justifié. Quant au Bureau de communication en matière de blanchiment, il s'est borné à constater qu'au moins un montant de 678'000 USD sur les 3,6 millions USD détenus sur le compte avait une origine suspecte à charge pour le Ministère public de la Confédération de vérifier ce qu'il en était et de déterminer si d'autres transferts seraient susceptibles de tomber sous le coup du blanchiment d'argent. Comme l'a relevé la Cour des plaintes, on ne saurait se baser sur cet avis pour conclure que seuls les montants considérés comme suspects seraient d'origine criminelle. L'allégation des recourantes selon lesquelles le compte de J.________ a également été alimenté par des revenus provenant de l'activité régulière de leur père respectivement de leur époux doit être vérifiée. Quant à la nature des fonds qui composent actuellement la relation bancaire (rendement d'obligations, dividende ou intérêts), elle importe peu. A ce stade et sur la base des pièces consultables du dossier, la Cour des plaintes pouvait conclure à l'existence d'un doute sur la part des fonds qui pourrait provenir d'une activité criminelle propre à justifier le maintien intégral du séquestre sur la relation bancaire n° www. Les recourantes ne font par ailleurs pas valoir un intérêt privé qui l'emporterait sur l'intérêt public au maintien du séquestre litigieux. Elles ne soutiennent en particulier pas que cette mesure les menacerait dans leur existence même. Le séquestre sur l'ensemble des avoirs détenus sur le compte n° www ne viole ainsi pas en l'état le principe de proportionnalité. Il appartiendra toutefois au Ministère public de la Confédération de faire diligence dans l'analyse des comptes et les investigations pour déterminer si le séquestre se justifie toujours et, le cas échéant, dans quelle mesure.</w:t>
      </w:r>
    </w:p>
    <w:p>
      <w:r>
        <w:rPr>
          <w:b/>
        </w:rPr>
        <w:t>E. 4</w:t>
      </w:r>
    </w:p>
    <w:p>
      <w:r>
        <w:t>Le recours doit par conséquent être rejeté aux frais des recourantes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