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1B_455/2013 vom 10. Januar 2014</w:t>
      </w:r>
    </w:p>
    <w:p>
      <w:r>
        <w:t>Bundesgericht, 2014-01-10, FR</w:t>
      </w:r>
    </w:p>
    <w:p>
      <w:r>
        <w:rPr>
          <w:b/>
        </w:rPr>
        <w:t xml:space="preserve">Quelle: </w:t>
      </w:r>
      <w:r>
        <w:t>https://mcp.opencaselaw.ch/entscheid/bger_1B_455_2013</w:t>
      </w:r>
    </w:p>
    <w:p>
      <w:r>
        <w:t>FR: TF 1B_455/2013 du 10 janvier 2014</w:t>
      </w:r>
    </w:p>
    <w:p>
      <w:r>
        <w:t>IT: TF 1B_455/2013 del 10 gennaio 2014</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Le recourant ne remet pas en cause le caractère suffisant des charges qui pèsent sur lui. Il conteste en revanche l'existence d'un risque de récidive propre à justifier son maintien en détention.</w:t>
      </w:r>
    </w:p>
    <w:p>
      <w:r>
        <w:rPr>
          <w:b/>
        </w:rPr>
        <w:t>E. 3.1</w:t>
      </w:r>
    </w:p>
    <w:p>
      <w:r>
        <w:t>Selon la jurisprudence, le maintien en détention provisoire s'impose s'il y a lieu de présumer, avec une certaine vraisemblance, qu'il existe un danger de récidive. Il convient de faire preuve de retenue dans l'appréciation du risque: le maintien en détention ne peut se justifier pour ce motif que si le pronostic est très défavorable et que les délits dont l'autorité redoute la réitération sont graves ( ATF 133 I 270 consid. 2.2 p. 276).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 ATF 123 I 268 consid. 2e p. 271). Autant que possible, l'autorité doit tenter de substituer à la détention toute autre mesure moins incisive propre à atteindre le même résultat ( ATF 133 I 270 consid. 2.2 p. 276).</w:t>
      </w:r>
    </w:p>
    <w:p>
      <w:r>
        <w:rPr>
          <w:b/>
        </w:rPr>
        <w:t>E. 3.2</w:t>
      </w:r>
    </w:p>
    <w:p>
      <w:r>
        <w:t>En l'espèce, le recourant est mis en cause pour avoir asséné un ou deux coups de pied dans la poitrine de la victime alors que celle-ci se trouvait à terre, lors d'une rixe qu'il aurait déclenchée, sans qu'il puisse expliquer son comportement. Les actes qui lui sont reprochés sont graves s'agissant d'infractions contre la vie et l'intégrité corporelle, même si le coup de pied porté à la poitrine de la victime n'est pas à l'origine du décès. De plus, il a été condamné à deux reprises pour des infractions de même nature la première fois en avril 2009, alors qu'il était mineur, et la seconde en avril 2010. S'il n'a pas fait l'objet d'une condamnation pénale depuis lors, il n'en reste pas moins qu'il devient incontrôlable et a tendance à chercher la bagarre lorsqu'il boit selon les déclarations de ses amis et connaissances. Le juge unique de la Chambre pénale pouvait ainsi à juste titre et sans violer le droit fédéral retenir l'existence d'un risque concret de récidive d'actes de même nature sur la base de ces différents éléments.</w:t>
      </w:r>
    </w:p>
    <w:p>
      <w:r>
        <w:t>Le recourant ne s'est pas opposé à la mise en oeuvre d'une expertise psychiatrique. Il est effectivement judicieux d'attendre l'avis des experts appelés à se prononcer sur l'intensité du danger de récidive et les mesures à prendre pour y parer. En l'état, le risque de voir le recourant répéter des actes dangereux pour autrui apparaît trop important pour que l'on puisse envisager une libération provisoire sans attendre les conclusions de l'expertise psychiatrique, sur la base du dossier. En particulier, le soutien de sa famille, la présence de sa fille et la reprise d'un travail régulier ne constituent manifestement pas des garanties suffisantes qui permettent d'affirmer que le recourant ne s'alcoolisera pas en fin de semaine ou en dehors des heures de travail et ne commettra pas à nouveau des actes de nature à mettre en danger la vie ou l'intégrité corporelle de tiers. L'interdiction de fréquenter les bars ou les discothèques n'est pas contrôlable et ne constitue pas une mesure de substitution adéquate à la détention provisoire. Le risque de récidive justifie donc la mesure litigieuse.</w:t>
      </w:r>
    </w:p>
    <w:p>
      <w:r>
        <w:t>Le recourant étant incarcéré, il appartiendra aux experts de faire diligence et de rendre un rapport intermédiaire sur la question du risque de récidive d'ici au 22 février 2014, s'ils ne sont pas en mesure de déposer leur rapport définitif, de manière que le Ministère public puis le Tribunal des mesures de contrainte puissent se prononcer en connaissance de cause sur une éventuelle nouvelle prolongation de la détention provisoire du recourant à l'échéance de la période de trois mois pour laquelle cette mesure a été prolongée.</w:t>
      </w:r>
    </w:p>
    <w:p>
      <w:r>
        <w:t>Le maintien en détention étant justifié par le danger de récidive, il n'est pas nécessaire d'examiner si cette mesure se justifie également en raison d'un risque de collusion.</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