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1B_455/2011 vom 22. September 2011</w:t>
      </w:r>
    </w:p>
    <w:p>
      <w:r>
        <w:t>Bundesgericht, 2011-09-22, FR</w:t>
      </w:r>
    </w:p>
    <w:p>
      <w:r>
        <w:rPr>
          <w:b/>
        </w:rPr>
        <w:t xml:space="preserve">Quelle: </w:t>
      </w:r>
      <w:r>
        <w:t>https://mcp.opencaselaw.ch/entscheid/bger_1B_455_2011</w:t>
      </w:r>
    </w:p>
    <w:p>
      <w:r>
        <w:t>FR: TF 1B_455/2011 du 22 septembre 2011</w:t>
      </w:r>
    </w:p>
    <w:p>
      <w:r>
        <w:t>IT: TF 1B_455/2011 del 22 settembre 2011</w:t>
      </w:r>
    </w:p>
    <w:p>
      <w:pPr>
        <w:pStyle w:val="Heading2"/>
      </w:pPr>
      <w:r>
        <w:t>Erwägungen</w:t>
      </w:r>
    </w:p>
    <w:p>
      <w:r>
        <w:rPr>
          <w:b/>
        </w:rPr>
        <w:t>E. 1</w:t>
      </w:r>
    </w:p>
    <w:p>
      <w:r>
        <w:t>Selon l' art. 78 LTF , le recours en matière pénale est ouvert contre les décisions rendues en matière pénale, notamment les décisions relatives à la détention provisoire au sens des art. 212 ss CPP .</w:t>
      </w:r>
    </w:p>
    <w:p>
      <w:r>
        <w:t>Selon l'art. 81 al. 1 let. a et let. b ch. 1 LTF, l'accusé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t>Le Tribunal fédéral examine librement ces questions, sous réserve toutefois de l'appréciation des faits, revue sous l'angle restreint des art. 97 al. 1 et 105 al. 2 LTF ( ATF 135 I 71 consid. 2.5 p. 73 s. et les références).</w:t>
      </w:r>
    </w:p>
    <w:p>
      <w:r>
        <w:rPr>
          <w:b/>
        </w:rPr>
        <w:t>E. 3</w:t>
      </w:r>
    </w:p>
    <w:p>
      <w:r>
        <w:t>Le recourant se plaint d'une violation des art. 237 et 238 CPP , ainsi que des art. 36 al. 3 Cst. et 5 par. 3 CEDH. Il conteste l'importance du risque de fuite et estime que les mesures de substitution proposées étaient suffisantes.</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3.2</w:t>
      </w:r>
    </w:p>
    <w:p>
      <w:r>
        <w:t>De nationalité étrangère, le recourant est arrivé en Suisse en 2009, à l'âge de 24 ans. Quand bien même il a collaboré à l'enquête, les actes commis sont graves et permettent d'envisager une importante peine privative de liberté. Le recourant affirme que dès son arrivée en Suisse - après le décès de son père en République Dominicaine - il se serait rapproché de sa famille qui habite en Suisse. Il se serait également fiancé à une ressortissante colombienne qui réside en Suisse. Il n'en demeure pas moins que le recourant a nécessairement conservé des liens étroits à Saint-Domingue puisqu'il y a effectué toute sa scolarité (y compris des études secondaires), puis une formation professionnelle. Selon ses propres déclarations, il aurait une petite amie habitant dans sa maison à Saint-Domingue, à qui il aurait envoyé de l'argent. Il n'est venu en Suisse que pour des cours de français, qu'il n'a d'ailleurs pas sérieusement suivis, et a clairement manifesté son intention de retourner par la suite en République Dominicaine. Dès lors, contrairement à ce que soutient le recourant, le risque de fuite est indéniable.</w:t>
      </w:r>
    </w:p>
    <w:p>
      <w:r>
        <w:rPr>
          <w:b/>
        </w:rPr>
        <w:t>E. 3.3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et la saisie des documents d'identité (let. b). Celui qui prétend à une libération sous caution doit fournir à l'autorité tous les éléments nécessaires pour évaluer le caractère dissuasif du montant proposé.</w:t>
      </w:r>
    </w:p>
    <w:p>
      <w:r>
        <w:rPr>
          <w:b/>
        </w:rPr>
        <w:t>E. 3.4</w:t>
      </w:r>
    </w:p>
    <w:p>
      <w:r>
        <w:t>Comme le relève la cour cantonale, le montant proposé par le recourant, soit 20'000 fr., correspond à dix mois de l'entretien que lui versait son oncle lorsqu'il était en liberté. Le recourant soutient que la somme proposée représenterait les seules économies de sa mère et de son beau-père, méconnaissant que d'autres membres de sa famille, en particulier l'oncle précité (qui lui versait 2'000 fr. d'argent de poche par mois), disposent de certains revenus. Il subsiste aussi des incertitudes sur les fonds que le recourant pourrait avoir économisés ou envoyés à l'étranger, ainsi que sur ceux dont il pourrait encore disposer dans son pays d'origine. Dans ces conditions, la cour cantonale pouvait retenir que le montant relativement modeste proposé par le recourant ne constituait pas une garantie suffisante, face à un risque de fuite évident.</w:t>
      </w:r>
    </w:p>
    <w:p>
      <w:r>
        <w:rPr>
          <w:b/>
        </w:rPr>
        <w:t>E. 3.5</w:t>
      </w:r>
    </w:p>
    <w:p>
      <w:r>
        <w:t>Enfin, il y a lieu de relever que la surveillance électronique préconisée par le recourant ne constitue pas en soi une mesure de substitution mais uniquement un moyen de contrôler l'exécution d'une telle mesure, en particulier une assignation à résidence. S'il apparaît, comme en l'espèce, que cette dernière mesure n'est pas apte à prévenir le risque de fuite, la surveillance électronique, dépourvue en soi d'effet préventif, ne saurait être mise en oeuvre.</w:t>
      </w:r>
    </w:p>
    <w:p>
      <w:r>
        <w:rPr>
          <w:b/>
        </w:rPr>
        <w:t>E. 4</w:t>
      </w:r>
    </w:p>
    <w:p>
      <w:r>
        <w:t>Sur le vu de ce qui précède, le recours doit être rejeté. Le recourant a demandé l'assistance judiciaire et les conditions en paraissent réunies. Me Mitra Sohrabi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