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1B_454/2018 vom 20. März 2019</w:t>
      </w:r>
    </w:p>
    <w:p>
      <w:r>
        <w:t>Bundesgericht, 2019-03-20, DE</w:t>
      </w:r>
    </w:p>
    <w:p>
      <w:r>
        <w:rPr>
          <w:b/>
        </w:rPr>
        <w:t xml:space="preserve">Quelle: </w:t>
      </w:r>
      <w:r>
        <w:t>https://mcp.opencaselaw.ch/entscheid/bger_1B_454_2018</w:t>
      </w:r>
    </w:p>
    <w:p>
      <w:r>
        <w:t>FR: TF 1B_454/2018 du 20 mars 2019</w:t>
      </w:r>
    </w:p>
    <w:p>
      <w:r>
        <w:t>IT: TF 1B_454/2018 del 20 marzo 2019</w:t>
      </w:r>
    </w:p>
    <w:p>
      <w:pPr>
        <w:pStyle w:val="Heading2"/>
      </w:pPr>
      <w:r>
        <w:t>Erwägungen</w:t>
      </w:r>
    </w:p>
    <w:p>
      <w:r>
        <w:rPr>
          <w:b/>
        </w:rPr>
        <w:t>E. 1</w:t>
      </w:r>
    </w:p>
    <w:p>
      <w:r>
        <w:t>Das Bundesgericht prüft die Zulässigkeit der Beschwerde von Amtes wegen und mit freier Kognition ( BGE 142 IV 196 E. 1.1 S. 197; 140 IV 57 E. 2 S. 59 mit Hinweisen; vgl. Art. 29 Abs. 1 und Art. 106 Abs. 1 i.V.m. Art. 78 ff. BGG ).</w:t>
      </w:r>
    </w:p>
    <w:p>
      <w:r>
        <w:t>Die Beschwerde in Strafsachen gegen Entsiegelungsentscheide der Zwangsmassnahmengerichte ist nur zulässig, wenn dem Betroffenen wegen eines Eingriffs in seine rechtlich geschützten Geheimnisinteressenein nicht wieder gutzumachender Rechtsnachteil droht bzw. er insofern ein rechtlich geschütztes Interesse an der Aufhebung oder Änderung des angefochtenen Entsiegelungsentscheides hat ( Art. 81 Abs. 1 lit. b und Art. 93 Abs. 1 lit. a BGG i.V.m. Art. 248 Abs. 1 StPO ; BGE 143 I 241 E. 1 S. 244; 141 IV 289 E. 1.1-1.2 S. 291 f. mit Hinweisen; nicht amtl. publ. E. 1 von BGE 144 IV 74 , E. 2.1 von BGE 143 IV 270 und E. 2 von BGE 142 IV 207 ; s.a. BGE 141 IV 77 E. 4.4 und E. 5 S. 82 ff.; 140 IV 28 E. 3.2 S. 32; 138 IV 225 E. 6.1 S. 227 f.).</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Das blosse Motiv, dass eine betroffene Person oder Gesellschaft strafprozessuale Beweiserhebungen möglichst unterbinden möchte, begründet für sich allein noch kein rechtlich geschütztes Geheimnisinteresse im Sinne von Art. 248 Abs. 1 StPO ( BGE 144 IV 74 E. 2.6 S. 79 f.; 142 IV 207 E. 11 S. 228). Auch der alleinige Umstand, dass ein Beweismittel, dessen Verwertbarkeit der Beschwerdeführer bestreitet, in den Akten bleibt bzw. durchsucht wird, stellt nach der Praxis des Bundesgerichtes in der Regel keinen Nachteil im Sinne von Art. 81 Abs. 1 lit. b bzw. Art. 93 Abs. 1 lit. a BGG dar. Beruft sich die rechtsuchende Person bei der Anfechtung von Entsiegelungsentscheiden nicht auf konkrete, bereits im Vorverfahren zu schützende Geheimnisgründe, sondern ausschliesslich auf allgemeine Beschlagnahme- und Durchsuchungshindernisse, droht ihr daher grundsätzlich kein nicht wieder gutzumachender Rechtsnachteil (vgl. BGE 143 IV 270 E. 7.6 S. 285; 387 E. 4.4 S. 394; 142 IV 207 E. 9.8 S. 227; 141 IV 289 E. 1 S. 291 f.; je mit Hinweisen).</w:t>
      </w:r>
    </w:p>
    <w:p>
      <w:r>
        <w:t>Die beschwerdeführende Person hat die betreffenden Sachurteilsvoraussetzungen ausreichend zu substanziieren, soweit diese nicht offensichtlich erfüllt sind ( Art. 42 Abs. 1-2 BGG ; BGE 141 IV 1 E. 1.1 S. 4 f.; 284 E. 2.3 S. 287; 289 E. 1.3 S. 292; je mit Hinweisen).</w:t>
      </w:r>
    </w:p>
    <w:p>
      <w:r>
        <w:rPr>
          <w:b/>
        </w:rPr>
        <w:t>E. 2</w:t>
      </w:r>
    </w:p>
    <w:p>
      <w:r>
        <w:t>In der Beschwerdeschrift wird zwar pauschal geltend gemacht, die Entsiegelung und Durchsuchung führe zu einer Verletzung von "Geschäftsgeheimnissen". Die beiden Beschwerdeführerinnen legen jedoch nicht dar, welche von ihnen die Verletzung welcher Geschäftsgeheimnisse befürchtet. Ebenso wenig erwähnen sie, welche der umfangreichen sichergestellten Unterlagen und Aufzeichnungen geheimnisgeschützte Informationen enthielten. Auch zur Art der angeblich betroffenen Geschäftsgeheimnisse machen sie keinerlei Angaben.</w:t>
      </w:r>
    </w:p>
    <w:p>
      <w:r>
        <w:t>Im Lichte der oben dargelegten Bundesgerichtspraxis substanziieren die Beschwerdeführerinnen nicht ausreichend, inwiefern ihnen eine Verletzung eigener gesetzlich geschützter Geheimnisrechte drohe und sie insofern ein rechtlich geschütztes Interesse an der Aufhebung oder Änderung des Entsiegelungsentscheides hätten.</w:t>
      </w:r>
    </w:p>
    <w:p>
      <w:r>
        <w:rPr>
          <w:b/>
        </w:rPr>
        <w:t>E. 3</w:t>
      </w:r>
    </w:p>
    <w:p>
      <w:r>
        <w:t>Auf die Beschwerde ist nicht einzutreten.</w:t>
      </w:r>
    </w:p>
    <w:p>
      <w:r>
        <w:t>Die Gerichtskosten sind den Beschwerdeführerinnen aufzuerlegen, zu gleichen Teilen und unter solidarischer Haftung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