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1B_453/2016 vom 20. Dezember 2016</w:t>
      </w:r>
    </w:p>
    <w:p>
      <w:r>
        <w:t>Bundesgericht, 2016-12-20, FR</w:t>
      </w:r>
    </w:p>
    <w:p>
      <w:r>
        <w:rPr>
          <w:b/>
        </w:rPr>
        <w:t xml:space="preserve">Quelle: </w:t>
      </w:r>
      <w:r>
        <w:t>https://mcp.opencaselaw.ch/entscheid/bger_1B_453_2016</w:t>
      </w:r>
    </w:p>
    <w:p>
      <w:r>
        <w:t>FR: TF 1B_453/2016 du 20 décembre 2016</w:t>
      </w:r>
    </w:p>
    <w:p>
      <w:r>
        <w:t>IT: TF 1B_453/2016 del 20 dicembre 2016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soulève le grief de constatation arbitraire des faits.</w:t>
      </w:r>
    </w:p>
    <w:p>
      <w:r>
        <w:rPr>
          <w:b/>
        </w:rPr>
        <w:t>E. 2.1</w:t>
      </w:r>
    </w:p>
    <w:p>
      <w:r>
        <w:t>Le Tribunal fédéral fonde son raisonnement sur les faits retenus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s.; 137 II 353 consid. 5.1 p. 356 et les arrêts cités).</w:t>
      </w:r>
    </w:p>
    <w:p>
      <w:r>
        <w:rPr>
          <w:b/>
        </w:rPr>
        <w:t>E. 2.2</w:t>
      </w:r>
    </w:p>
    <w:p>
      <w:r>
        <w:t>A l'appui de son grief, le recourant prétend que l'instance précédente aurait retenu à tort qu'il ne disposait pas de l'autorité parentale sur sa fille et qu'il avait l'interdiction d'approcher son fils en dehors de son droit de visite au Point de rencontre. L'arrêt entrepris mentionnerait par ailleurs uniquement le fait qu'il aurait indiqué à ses proches qu'il n'enlèverait jamais ses enfants car ils avaient besoin de lui, alors qu'il aurait aussi précisé que son fils avait également besoin de sa mère. Enfin, l'instance précédente aurait exposé à tort qu'il avait été appréhendé le 9 février 2016 alors qu'il se serait rendu spontanément à la convocation du Ministère public.</w:t>
      </w:r>
    </w:p>
    <w:p>
      <w:r>
        <w:t>En l'occurrence, le recourant se contente d'opposer son propre exposé des faits à ceux retenus par l'instance précédente, sans démontrer en quoi ceux-ci seraient arbitraires. Il ne précise en particulier pas sur quelles pièces du dossier il s'appuierait. Enfin, il ne démontre pas en quoi ces éléments de fait seraient susceptibles d'influer sur le sort de la cause. L a critique du recourant, de caractère purement appellatoire, ne satisfait dès lors manifestement pas aux exigences minimales de motivation rappelées ci-dessus et doit donc être déclarée irrecevable.</w:t>
      </w:r>
    </w:p>
    <w:p>
      <w:r>
        <w:rPr>
          <w:b/>
        </w:rPr>
        <w:t>E. 3</w:t>
      </w:r>
    </w:p>
    <w:p>
      <w:r>
        <w:t>Le recourant conteste l'existence de forts soupçons de culpabilité à son encontre.</w:t>
      </w:r>
    </w:p>
    <w:p>
      <w:r>
        <w:rPr>
          <w:b/>
        </w:rPr>
        <w:t>E. 3.1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w:t>
      </w:r>
    </w:p>
    <w:p>
      <w:r>
        <w:t>Pour qu'une personne soit placée et maintenue en détention provisoire, il doit tout d'abord exister à son égard des charges suffisantes, soit de sérieux soupçons de culpabilité, c'est-à-dire des raisons plausibles de la soupçonner d'avoir commis une infraction ( art. 221 al. 1 CPP ; art. 5 § 1 let . c CEDH). Il n'appartient cependant pas au juge de la détention de procéder à une pesée complète des éléments à charge et à décharge et d'apprécier la crédibilité des personnes qui mettent en cause le prévenu. L'autorité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3.1 p. 126).</w:t>
      </w:r>
    </w:p>
    <w:p>
      <w:r>
        <w:rPr>
          <w:b/>
        </w:rPr>
        <w:t>E. 3.2</w:t>
      </w:r>
    </w:p>
    <w:p>
      <w:r>
        <w:t>En l'espèce, le Tribunal cantonal a jugé qu'il existait des soupçons de culpabilité suffisants à l'encontre du recourant, notamment en lien avec l'enlèvement de son fils le 4 février 2016. Il a relevé que si le déroulement de cet événement n'était pas clair, il était survenu après le précédent enlèvement de sa fille le 28 décembre 2013 et alors que le prévenu avait l'interdiction d'approcher son fils en dehors de son droit de visite au Point Rencontre. Les déclarations des témoins - auxquelles le prévenu se référaient - ne modifiaient pas cette appréciation. L'instance précédente relevait encore que le prévenu avait reconnu avoir persisté à entrer en contact avec E.________ jusqu'en décembre 2015 et avoir harcelé et importuné D.________ malgré les interdictions d'entrer en contact avec celles-ci signifiées par le Procureur et la justice civile.</w:t>
      </w:r>
    </w:p>
    <w:p>
      <w:r>
        <w:t>Le recourant conteste en vain l'appréciation du Tribunal cantonal. En lien avec les événements du 4 février 2016, il se contente d'affirmer qu'il "n'a vraisemblablement jamais tenté d'enlever son enfant" et renvoie pour le surplus à son recours cantonal. Cette manière de procéder - qui ne prend nullement appui sur la motivation de la décision entreprise - est irrecevable (cf. art. 42 al. 1 et 2 LTF ; ATF 138 IV 47 consid. 2.8.1 p. 54 et les arrêts cités). Cela étant, les indices de culpabilité à l'encontre du recourant ne se fondent pas que sur cet épisode. En effet, l'intéressé ne remet pas en cause l'enlèvement de sa fille survenu en décembre 2013, dont il minimise toutefois la gravité; il est à cet égard sans pertinence que le prévenu n'ait pas été mis en détention en 2013 en raison de cet événement. Le recourant admet en outre également avoir violé l'interdiction de contacter les mères de ses deux enfants. Enfin, quoi qu'en pense le recourant, les déclarations de E.________ au sujet d'actes de violence qu'il aurait commis constituent également des indices de culpabilité à son encontre, nonobstant le fait qu'ils seraient en procès au sujet de la garde de leur enfant commun.</w:t>
      </w:r>
    </w:p>
    <w:p>
      <w:r>
        <w:t>C'est dès lors à juste titre que la cour cantonale a considéré qu'il existait des charges suffisantes pour justifier le maintien en détention du recourant, étant rappelé que c'est au juge du fond et non à celui de la détention qu'il incombera d'apprécier la culpabilité de l'intéressé ainsi que la valeur probante des déclarations des différentes parties.</w:t>
      </w:r>
    </w:p>
    <w:p>
      <w:r>
        <w:rPr>
          <w:b/>
        </w:rPr>
        <w:t>E. 4</w:t>
      </w:r>
    </w:p>
    <w:p>
      <w:r>
        <w:t>Le recourant nie enfin tout risque de récidive.</w:t>
      </w:r>
    </w:p>
    <w:p>
      <w:r>
        <w:rPr>
          <w:b/>
        </w:rPr>
        <w:t>E. 4.1</w:t>
      </w:r>
    </w:p>
    <w:p>
      <w:r>
        <w:t>L' art. 221 al. 1 let .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1B_373/2016 du 23 novembre 2016 destiné à la publication, consid. 2).</w:t>
      </w:r>
    </w:p>
    <w:p>
      <w:r>
        <w:rPr>
          <w:b/>
        </w:rPr>
        <w:t>E. 4.2</w:t>
      </w:r>
    </w:p>
    <w:p>
      <w:r>
        <w:t>Dans l'arrêt entrepris, le Tribunal cantonal s'est intégralement référé aux considérants développés dans son arrêt du 19 juillet 2016 qui conservaient, à ses yeux, toute leur pertinence. Ainsi, l'instance précédente relevait que le recourant avait commis de nouveaux agissements en cours d'enquête, alors qu'il faisait déjà l'objet d'une instruction pénale en raison d'une multitude d'actes délictueux commis au préjudice des mères de ses deux enfants, sur une période relativement longue. Elle précisait en outre que le prévenu avait poursuivi ses agissements malgré les mises en garde formelles du procureur; elle ajoutait que son absence de respect des décisions de justice ne plaidait pas non plus en sa faveur. Enfin, l'expertise psychiatrique retenait que le prévenu présentait un risque de réitération d'actes illicites de même nature que ceux qui lui étaient reprochés.</w:t>
      </w:r>
    </w:p>
    <w:p>
      <w:r>
        <w:t>L'appréciation du Tribunal cantonal n'apparaît pas critiquable et l'on peut s'y référer. Contrairement à ce qu'affirme le recourant, cette autorité ne s'est pas fondée sur le fait qu'il aurait persisté à envoyer des lettres d'amour à sa compagne en dépit de l'interdiction de prendre contact avec celle-ci qui lui avait été notifiée. Elle s'est avant tout basée sur les actes de violence commis de manière réitérée à l'encontre des mères de ses deux enfants, ainsi que sur le rapport d'expertise retenant un risque de réitération. La critique du recourant doit donc être rejetée.</w:t>
      </w:r>
    </w:p>
    <w:p>
      <w:r>
        <w:rPr>
          <w:b/>
        </w:rPr>
        <w:t>E. 4.3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l'interdiction de se rendre dans un certain lieu (let. c), l'obligation de se soumettre à un traitement médical ou à des contrôles (let. f) et l'interdiction d'entretenir des relations avec certaines personnes (let. g).</w:t>
      </w:r>
    </w:p>
    <w:p>
      <w:r>
        <w:t>En l'espèce, le recourant se prévaut du fait qu'il bénéficierait depuis le mois de septembre 2016 d'un suivi ambulatoire tel que préconisé par les experts. Il ne produit cependant aucun document médical concernant ledit suivi, alors que l'instance précédente a retenu qu'il n'avait toujours pas de suivi régulier et précis susceptible de parer efficacement au risque de récidive. Cela étant, les experts préconisent certes un suivi psychothérapeutiq ue légal ambulatoire spécialisé dans la maltraitance afin de diminuer le risque de récidive; ils soulignent toutefois que ce suivi va être particulièrement difficile compte tenu des dimensions délirantes du recourant et de la totale anosognosie de son trouble (cf. rapport d'expertise p. 18). Les experts précisent encore que, compte tenu de sa pathologie, le potentiel de dangerosité dont il fait preuve ne doit pas être banalisé (cf. rapport d'expertise p. 18). Il ressort de ces considérations que l'efficacité du traitement prescrit ne serait en tout cas pas immédiate; tant que des résultats tangibles n'auront pas été constatés du point de vue de la diminution du risque de récidive, une libération apparaît prématurée. Enfin, l'interdiction de se rendre à Vallorbe, ainsi que de prendre contact avec ses enfants - hormis les visites prévues par la justice civile - et leur mère ne constitue pas une mesure suffisante, au vu des violations de normes et d'injonctions commises précédemment par l'intéressé.</w:t>
      </w:r>
    </w:p>
    <w:p>
      <w:r>
        <w:t>Dans ces conditions, l'instance précédente n'a pas violé le droit fédéral en considérant que les mesures de substitution proposées par l'intéressé n'étaient pas propres à limiter de façon déterminante le risque de réitération.</w:t>
      </w:r>
    </w:p>
    <w:p>
      <w:r>
        <w:rPr>
          <w:b/>
        </w:rPr>
        <w:t>E. 5</w:t>
      </w:r>
    </w:p>
    <w:p>
      <w:r>
        <w:t>Il s'ensuit que le recours est rejeté, dans la mesure de sa recevabilité. Le recourant a demandé l'assistance judiciaire et les conditions en paraissent réunies ( art. 64 al. 1 LTF ). Il y a lieu de désigner Me Martin Brechbühl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