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1B_452/2022 vom 7. März 2023</w:t>
      </w:r>
    </w:p>
    <w:p>
      <w:r>
        <w:t>Bundesgericht, 2023-03-07, FR</w:t>
      </w:r>
    </w:p>
    <w:p>
      <w:r>
        <w:rPr>
          <w:b/>
        </w:rPr>
        <w:t xml:space="preserve">Quelle: </w:t>
      </w:r>
      <w:r>
        <w:t>https://mcp.opencaselaw.ch/entscheid/bger_1B_452_2022</w:t>
      </w:r>
    </w:p>
    <w:p>
      <w:r>
        <w:t>FR: TF 1B_452/2022 du 7 mars 2023</w:t>
      </w:r>
    </w:p>
    <w:p>
      <w:r>
        <w:t>IT: TF 1B_452/2022 del 7 marzo 2023</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L'arrêt attaqué a été rendu au cours d'une procédure pénale par une autorité statuant en tant que dernière instance cantonale ( art. 80 al. 1 LTF ). La voie du recours en matière pénale est donc en principe ouverte ( art. 78 ss LTF ).</w:t>
      </w:r>
    </w:p>
    <w:p>
      <w:r>
        <w:rPr>
          <w:b/>
        </w:rPr>
        <w:t>E. 1.2</w:t>
      </w:r>
    </w:p>
    <w:p>
      <w:r>
        <w:t>Dans l'arrêt entrepris, la cour cantonale a tout d'abord retenu la licéité de l'enregistrement de la conversation téléphonique effectuée le 6 juillet 2022 par le recourant au cours de sa détention provisoire (cf. consid. 2.1.2 et 2.2 p. 6 ss); elle a ensuite confirmé le séquestre des armes ordonné le 12 juillet 2022 (cf. consid. 2.1.1 p. 5 s. et 2.2 in fine p. 8).</w:t>
      </w:r>
    </w:p>
    <w:p>
      <w:r>
        <w:t>Aucune de ces deux problématiques ne permet de mettre un terme à la procédure pénale ouverte contre le recourant. Le recours en matière pénale n'est donc recevable qu'en présence d'un préjudice irréparable au sens de l' art. 93 al. 1 let. a LTF ; la lettre b de cette disposition n'est en principe pas applicable en matière pénale. Dans ce domaine, le préjudice irréparable se rapporte à un dommage de nature juridique qui ne puisse pas être réparé ultérieurement par un jugement final ou une autre décision favorable au recourant ( ATF 148 IV 155 consid. 1.1 p. 158). En vertu de l' art. 42 al. 2 LTF , il incombe au recourant d'alléguer les faits permettant de démontrer l'existence d'un préjudice irréparable lorsque celui-ci n'est pas d'emblée évident ( ATF 148 IV 155 consid. 1.1 p. 159).</w:t>
      </w:r>
    </w:p>
    <w:p>
      <w:r>
        <w:rPr>
          <w:b/>
        </w:rPr>
        <w:t>E. 1.3</w:t>
      </w:r>
    </w:p>
    <w:p>
      <w:r>
        <w:t>S'agissant tout d'abord du séquestre contesté, la recevabilité du recours en matière pénale, notamment sous l'angle de l'existence d'un préjudice irréparable au sens de l' art. 93 al. 1 let. a LTF (voir notamment en la matière, ATF 140 IV 57 consid. 2.3 p. 60; arrêts 1B_144/2022 du 30 août 2022 consid. 1; 1B_481/2021 du 4 novembre 2021 consid. 1), n'appelle aucune considération particulière.</w:t>
      </w:r>
    </w:p>
    <w:p>
      <w:r>
        <w:rPr>
          <w:b/>
        </w:rPr>
        <w:t>E. 1.4</w:t>
      </w:r>
    </w:p>
    <w:p>
      <w:r>
        <w:t>En ce qui concerne ensuite la licéité de l'enregistrement litigieux, le seul fait qu'un moyen de preuve dont la validité, notamment eu égard aux art. 140 et 141 CPP , est contestée demeure au dossier ne constitue en principe pas un préjudice irréparable; il est en effet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p. 96).</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w:t>
      </w:r>
    </w:p>
    <w:p>
      <w:r>
        <w:t>En l'occurrence, le recourant soutient qu'à défaut de base légale permettant l'enregistrement de sa communication téléphonique alors qu'il se trouvait en détention, il s'agirait d'une mesure de surveillance secrète au sens des art. 269 ss CPP ; l' art. 277 CPP prévoyant la destruction immédiate des enregistrements récoltés lors d'une surveillance non autorisée serait donc applicable. Dans la mesure où ces problématiques (base légale, subsidiairement défaut d'autorisation d'une mesure secrète) se recoupent en substance avec celles à examiner au fond, l'invocation de ces dispositions peut exceptionnellement suffire pour retenir, au stade de la recevabilité, l'existence dans le cas d'espèce d'un préjudice irréparable.</w:t>
      </w:r>
    </w:p>
    <w:p>
      <w:r>
        <w:rPr>
          <w:b/>
        </w:rPr>
        <w:t>E. 1.5</w:t>
      </w:r>
    </w:p>
    <w:p>
      <w:r>
        <w:t>Pour le surplus, le recourant, prévenu destinataire de la décision attaquée, a un intérêt juridique à obtenir son annulation ou sa modification (cf. art. 81 al. 1 let. a et b LTF ); en effet, le prononcé entrepris autorise le maintien au dossier de l'enregistrement litigieux (arrêt 1B_282/2022 du 29 novembre 2022 consid. 1), respectivement confirme la validité des mesures d'instruction entreprises sur cette base, à savoir le séquestre ordonné le 12 juillet 2022 qui le prive de la libre disposition des biens saisis (arrêt 1B_481/2021 du 4 novembre 2021 consid. 1 et les arrêts cités). Les conclusions prises dans le recours - déposé en temps utile (cf. art. 100 al. 1 LTF ) - sont recevables (cf. art. 107 al. 2 LTF ) et, partant, il y a lieu d'entrer en matière.</w:t>
      </w:r>
    </w:p>
    <w:p>
      <w:r>
        <w:rPr>
          <w:b/>
        </w:rPr>
        <w:t>E. 2</w:t>
      </w:r>
    </w:p>
    <w:p>
      <w:r>
        <w:t>Invoquant notamment les art. 13, 36 Cst. et 8 CEDH, le recourant reproche tout d'abord à l'autorité précédente d'avoir considéré que l' art. 235 al. 1 CPP et l'art. 63 al. 6 RSDAJ comme des bases légales permettant d'enregistrer ses conversations téléphoniques durant sa détention avant jugement.</w:t>
      </w:r>
    </w:p>
    <w:p>
      <w:r>
        <w:rPr>
          <w:b/>
        </w:rPr>
        <w:t>E. 2.1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l'État ( ATF 145 I 318 consid. 2.1 p. 321).</w:t>
      </w:r>
    </w:p>
    <w:p>
      <w:r>
        <w:t>Conformément à l' art. 36 Cst. , une restriction de ces droits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En matière d'exécution de la détention avant jugement, de telles restrictions ne doivent pas aller au-delà de ce qui est nécessaire au but de l'incarcération et au fonctionnement de l'établissement de détention. Le principe de proportionnalité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les besoins et les possibilités réelles de correspondre, ainsi que de recevoir des visites; ATF 145 I 318 consid. 2.1 p. 321 s.).</w:t>
      </w:r>
    </w:p>
    <w:p>
      <w:r>
        <w:rPr>
          <w:b/>
        </w:rPr>
        <w:t>E. 2.2</w:t>
      </w:r>
    </w:p>
    <w:p>
      <w:r>
        <w:t>S'agissant de la base légale nécessaire en cas de restriction de la liberté découlant de la détention, la jurisprudence considère que lorsque les causes et la durée de la privation de la liberté sont prévues dans une loi au sens formel, les restrictions à la liberté personnelle des détenus qui découlent des conditions de détention peuvent figurer dans une loi au sens matériel, à savoir une ordonnance ou un règlement de prison, car ces personnes sont liées à l'Etat par un rapport de droit spécial ( ATF 145 I 318 consid. 2.1 p. 321 s.; 124 I 203 consid. 2b p. 205; 123 I 221 consid. I/4a p. 226; 119 Ia 505 consid. 3b p. 507; arrêts 6B_1218/2018 du 14 janvier 2019 consid. 2.1; 6B_1179/2015 du 4 août 2016 consid. 5.2; 1B_425/2015 du 21 juin 2016 consid. 2.4.1; FREI/ZUBERBÜHLER ELSÄSSER, in DONATSCH/LIEBER/SUMMERS/WOHLERS [édit.], Kommentar zur Schweizerischen Strafprozessordnung [StPO], 3e éd. 2020, vol. II, Art. 196-457, n° 19 ad art. 235 CPP ; SCHMID/JOSITSCH, Schweizerische Strafprozessordnung, Praxiskommentar, 3e éd. 2018, n° 1 ad art. 235 CPP ; plus critique, MATTHIAS HÄRRI, in Basler Kommentar, Schweizerische Strafprozessordnung, Art. 196-457 StPO, 2e éd. 2014, n° 62 ad art. 235 CPP ). Le règlement de prison doit satisfaire à des exigences minimales de clarté et de précision, afin d'assurer aux détenus une protection suffisante contre l'arbitraire ou d'autres violations de leurs droits fondamentaux ( ATF 124 I 203 consid. 2b p. 205; 123 I 221 consid. I/4a p. 226; arrêts 6B_1218/2018 du 14 janvier 2019 consid. 2.1; 6B_1179/2015 du 4 août 2016 consid. 5.2).</w:t>
      </w:r>
    </w:p>
    <w:p>
      <w:r>
        <w:t>La détention provisoire et la détention pour des motifs de sûreté sont réglées par les art. 220 ss CPP , qui déterminent les conditions où une telle privation de liberté peut être ordonnée ainsi que la procédure qui doit être suivie. L' art. 235 al. 1 CPP prévoit en particulier que la liberté des prévenus en détention ne peut être restreinte que dans la mesure requise par le but de la détention et par le respect de l'ordre et de la sécurité dans l'établissement. Cette disposition constitue ainsi la base légale permettant de restreindre les droits des prévenus dans la mesure où le but de la détention l'exige (arrêts 1B_410/2019 du 4 octobre 2019 consid. 3.1; 6B_1179/2015 du 4 août 2016 consid. 5.3; 1B_425/2015 du 21 juin 2016 consid. 2.4.1; 1B_17/2015 du 18 mars 2015 consid. 3.1; SCHMID/JOSITSCH, op. cit., n° 1 ad art. 235 CPP ), constatation confirmée encore récemment par le Tribunal fédéral en lien avec l'art. 63 RSDAJ (arrêts 1B_122/2020 du 20 mars 2020 consid. 2.1 et 2.3; 1B_410/2019 du 4 octobre 2019 consid. 3.1 et 3.3). Il appartient au législateur cantonal de régler les droits et les obligations des prévenus en détention, leurs droits de recours, les mesures disciplinaires ainsi que la surveillance des établissements de détention ( art. 235 al. 5 CPP ; cf. arrêts 1B_122/2020 du 20 mars 2020 consid. 2.1; 1B_410/2019 du 4 octobre 2019 consid. 3.1; 6B_1179/2015 du 4 août 2016 consid. 5.3; 1B_425/2015 du 21 juin 2016 consid. 2.4.1).</w:t>
      </w:r>
    </w:p>
    <w:p>
      <w:r>
        <w:t>A teneur de l' art. 235 al. 2 CPP , tout contact entre le prévenu en détention et des tiers est soumis à l'autorisation de la direction de la procédure; les visites sont surveillées si nécessaire. Selon le Message du Conseil fédéral du 21 décembre 2005 relatif à l'unification du droit de la procédure pénale, "sont en particulier soumis à autorisation les contacts personnels et verbaux - soit les visites et les appels téléphoniques - mais non la correspondance", celle-ci, sous réserve d'exceptions, étant cependant contrôlée (FF 2006 1057 1217 en lien avec l'art. 234 al. 2 et 3 du projet [FF 2006 1373]).</w:t>
      </w:r>
    </w:p>
    <w:p>
      <w:r>
        <w:rPr>
          <w:b/>
        </w:rPr>
        <w:t>E. 2.3</w:t>
      </w:r>
    </w:p>
    <w:p>
      <w:r>
        <w:t>Dans le canton de Vaud, l'art. 1 al. 1 de la loi du 7 novembre 2006 sur l'exécution de la détention avant jugement (LEDJ; RS/VD 312.07) prévoit que l'exécution de la détention avant jugement est régie par le Code de procédure pénale suisse, ainsi que par la LEDJ. Celle-ci a pour but d'organiser la détention de manière à répondre aux besoins de la procédure dont les personnes détenues avant jugement font l'objet et de favoriser la réintégration desdites personnes dans la société libre (art. 1 al. 2 LEDJ). Selon l'art. 12 LEDJ, dans le but de maintenir la sécurité et le bon ordre, l'établissement pénitentiaire peut procéder à l'enregistrement de données, en particulier par le biais de la vidéosurveillance (al. 1); la direction de l'établissement, ou, sur délégation de cette dernière, un chef ou un sous-chef de maison, est en charge de la gestion des données précitées, conformément aux règles fixées par le Service pénitentiaire (al. 2); les enregistrements peuvent être conservés, en vue d'une éventuelle extraction, pour une durée de quatre mois (al. 4).</w:t>
      </w:r>
    </w:p>
    <w:p>
      <w:r>
        <w:t>Quant au RSDAJ, son préambule renvoie notamment à la loi précitée, ainsi qu'au règlement du 16 août 2017 sur le statut des personnes condamnées exécutant une peine privative de liberté ou une mesure (RSPC; RS/VD 340.01.1; voir au demeurant la teneur de l'art. 91 RSPC relatif aux appels téléphoniques qui sont également enregistrées dans le cadre de l'exécution d'une peine). Le RSDAJ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l'alinéa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(art. 63 al. 2 RSDAJ). Les appels s'effectuent durant les heures fixées par la direction de chaque établissement (art. 63 al. 3 RSDAJ). Les conversations sont enregistrées et peuvent être contrôlées (al. 6). Les enregistrements ne peuvent être traités qu'à des fins probatoires ou de contrôle, dans le cadre d'une procédure disciplinaire ou pénale ainsi que dans le cadre d'évènements susceptibles de porter atteinte à l'intégrité physique ou psychique d'individus ou de mettre en péril la sécurité publique ou celle de l'établissement (art. 63 al. 7 RSDAJ). Les données contenues dans ces enregistrements ne peuvent être conservées que pour une durée limitée (art. 63 al. 8 RSDAJ).</w:t>
      </w:r>
    </w:p>
    <w:p>
      <w:r>
        <w:rPr>
          <w:b/>
        </w:rPr>
        <w:t>E. 2.4</w:t>
      </w:r>
    </w:p>
    <w:p>
      <w:r>
        <w:t>En l'occurrence, les causes et la durée de la détention avant jugement sont prévues dans une loi au sens formel (cf. les art. 220 ss CPP , respectivement l' art. 235 CPP ). Le principe de l'enregistrement de données notamment à des fins sécuritaires est posé dans la LDEJ. Quant à l'art. 63 RSDAJ, il ne pose aucune condition supplémentaire au droit de passer des appels téléphoniques lorsque ceux-ci ont été valablement autorisés (cf. art. 235 al. 2 CPP ), mais délimite les modalités de l'exercice de ce droit dans l'établissement pénitentiaire (cf. notamment art. 63 al. 1 à 5 RSDAJ), ainsi que celles relatives à son contrôle (cf. art. 63 al. 6 à 8 RSDAJ). Cette manière de procéder est conforme à la jurisprudence susmentionnée.</w:t>
      </w:r>
    </w:p>
    <w:p>
      <w:r>
        <w:t>Le recourant ne développe en outre aucune argumentation afin de remettre en cause le principe d'une surveillance des appels téléphoniques des détenus et/ou la proportionnalité du moyen de contrôle choisi (enregistrement et éventuelle écoute des conversations). En particulier, il ne soutient pas que l'enregistrement des appels téléphoniques des détenus avant jugement ne permettrait pas d'atteindre les buts de la détention avant jugement, soit notamment de prévenir un risque de collusion et/ou un danger de récidive, que les nouvelles infractions commises au cours de la détention puissent être réalisées à l'intérieur ou à l'extérieur de l'établissement pénitentiaire (cf. ATF 145 I 318 consid. 2.6 p. 327; voir également ATF 141 I 141 consid. 6.3.4 p. 147). Il n'invoque pas non plus une violation du principe de la proportionnalité eu égard aux limites - notamment temporelles - fixées aux art. 12 LEDJ et 63 al. 7 et 8 RSDAJ.</w:t>
      </w:r>
    </w:p>
    <w:p>
      <w:r>
        <w:t>Partant, la Chambre pénale pouvait, sans violer le droit fédéral, considérer que l'enregistrement litigieux reposait sur une base légale suffisante et pouvait dès lors être exploité.</w:t>
      </w:r>
    </w:p>
    <w:p>
      <w:r>
        <w:rPr>
          <w:b/>
        </w:rPr>
        <w:t>E. 3</w:t>
      </w:r>
    </w:p>
    <w:p>
      <w:r>
        <w:t>Au vu des éléments qui précédent, il n'y a pas lieu d'examiner les griefs soulevés par le recourant en lien avec une prétendue mesure de surveillance secrète non autorisée et au cours de laquelle aurait été mise en évidence, à titre de découvertes fortuites, l'éventuelle commission de nouvelles infractions de sa part. En effet, le raisonnement y relatif part de la prémisse erronée qu'il n'existait pas de base légale permettant l'enregistrement litigieux (cf. notamment ad ch. III p. 5, ch. 2 p. 7 et ch. 3 p. 8 du recours).</w:t>
      </w:r>
    </w:p>
    <w:p>
      <w:r>
        <w:t>En tout état de cause, l'enregistrement effectué ne présente pas le caractère d'une mesure secrète au sens des 269 ss CPP. Le recourant ne conteste en effet pas (i) avoir eu connaissance du formulaire lui indiquant que sa conversation téléphonique serait enregistrée et (ii) avoir mentionné ce fait durant l'appel litigieux afin d'expliquer pourquoi il ne pouvait utiliser certains mots. Le recourant, assisté par un mandataire professionnel, n'invoque d'ailleurs pas une violation de l' art. 281 al. 3 let. a CPP pour faire constater l'illicéité de l'enregistrement litigieux (sur cette disposition, cf. ATF 147 IV 402 consid. 5.1 p. 405 ss). Les propos tenus suffisent également pour retenir qu'indépendamment des résultats de l'expertise psychiatrique qui a été demandée - au demeurant ultérieurement à l'arrêt attaqué (cf. art. 99 al. 1 LTF ; cf. les observations du recourant du 29 septembre 2022) -, le recourant avait alors compris l'information qui lui avait été donnée, ainsi que les conséquences de ses déclarations.</w:t>
      </w:r>
    </w:p>
    <w:p>
      <w:r>
        <w:rPr>
          <w:b/>
        </w:rPr>
        <w:t>E. 4</w:t>
      </w:r>
    </w:p>
    <w:p>
      <w:r>
        <w:t>Le séquestre des armes et des munitions est uniquement contesté dans la mesure où il découlerait d'un moyen de preuve obtenu illégalement. Tel n'étant pas le cas (cf. consid. 2.2 ci-dessus), cette mesure peut être confirmée (cf. art. 263 CPP ; voir également ad ch. 4 p. 8 du recours qui relève les motifs du séquestre en eux-mêmes sont probablement réalisés).</w:t>
      </w:r>
    </w:p>
    <w:p>
      <w:r>
        <w:rPr>
          <w:b/>
        </w:rPr>
        <w:t>E. 5</w:t>
      </w:r>
    </w:p>
    <w:p>
      <w:r>
        <w:t>Il s'ensuit que le recours est rejeté dans la mesure où il est recevable.</w:t>
      </w:r>
    </w:p>
    <w:p>
      <w:r>
        <w:t>Le recourant a demandé l'octroi de l'assistance judiciaire (cf. art. 64 al. 1 LTF ). Le recours n'était pas d'emblée dénué de chances de succès et cette requête doit donc être admise. Il y a lieu de désigner Me Frank Tièche en tant qu'avocat d'office du recourant pour la procédure fédérale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