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1B_452/2021 vom 9. November 2021</w:t>
      </w:r>
    </w:p>
    <w:p>
      <w:r>
        <w:t>Bundesgericht, 2021-11-09, DE</w:t>
      </w:r>
    </w:p>
    <w:p>
      <w:r>
        <w:rPr>
          <w:b/>
        </w:rPr>
        <w:t xml:space="preserve">Quelle: </w:t>
      </w:r>
      <w:r>
        <w:t>https://mcp.opencaselaw.ch/entscheid/bger_1B_452_2021</w:t>
      </w:r>
    </w:p>
    <w:p>
      <w:r>
        <w:t>FR: TF 1B_452/2021 du 9 novembre 2021</w:t>
      </w:r>
    </w:p>
    <w:p>
      <w:r>
        <w:t>IT: TF 1B_452/2021 del 9 novembre 2021</w:t>
      </w:r>
    </w:p>
    <w:p>
      <w:pPr>
        <w:pStyle w:val="Heading2"/>
      </w:pPr>
      <w:r>
        <w:t>Erwägungen</w:t>
      </w:r>
    </w:p>
    <w:p>
      <w:r>
        <w:rPr>
          <w:b/>
        </w:rPr>
        <w:t>E. 1.1</w:t>
      </w:r>
    </w:p>
    <w:p>
      <w:r>
        <w:t>Gegen den angefochtenen Entscheid ist gemäss Art. 78 Abs. 1 BGG die Beschwerde in Strafsachen gegeben. Die Vorinstanz hat gemäss Art. 248 Abs. 3 lit. a i.V.m. Art. 380 StPO als einzige kantonale Instanz entschieden. Die Beschwerde ist somit nach Art. 80 BGG zulässig.</w:t>
      </w:r>
    </w:p>
    <w:p>
      <w:r>
        <w:rPr>
          <w:b/>
        </w:rPr>
        <w:t>E. 1.2</w:t>
      </w:r>
    </w:p>
    <w:p>
      <w:r>
        <w:t>Die Beschwerde richtet sich gegen einen Zwischenentscheid im Sinne von Art. 93 BGG . Dagegen ist die Beschwerde nach Absatz 1 dieser Bestimmung zulässig, wenn der Zwischenentscheid einen nicht wieder gutzumachenden Nachteil bewirken kann (lit. a), oder wenn die Gutheissung der Beschwerde sofort einen Endentscheid herbeiführen und damit einen bedeutenden Aufwand an Zeit oder Kosten für ein weitläufiges Beweisverfahren ersparen würde (lit. b). Vorliegend fällt nur die erstgenannte Variante in Betracht. Beim drohenden nicht wieder gutzumachenden Nachteil muss es sich im Bereich der Beschwerde in Strafsachen um einen solchen rechtlicher Natur handeln. Nicht wieder gutzumachend bedeutet, dass der Nachteil auch mit einem für die beschwerdeführende Person günstigen Endentscheid nicht oder nicht vollständig behebbar ist ( BGE 147 IV 188 E. 1.3.2; 141 IV 289 E. 1.2 mit Hinweis). Es ist Sache der Beschwerdeführer darzutun, dass die Voraussetzungen von Art. 93 Abs. 1 lit. a BGG erfüllt sind ( BGE 141 IV 289 E. 1.4; 284 E. 2.3; je mit Hinweisen).</w:t>
      </w:r>
    </w:p>
    <w:p>
      <w:r>
        <w:rPr>
          <w:b/>
        </w:rPr>
        <w:t>E. 2.1</w:t>
      </w:r>
    </w:p>
    <w:p>
      <w:r>
        <w:t>Gemäss Art. 248 StPO sind Aufzeichnungen und Gegenstände, die nach Angaben der Inhaberin oder des Inhabers wegen eines Aussage- oder Zeugnisverweigerungsrechts oder aus anderen Gründen nicht durchsucht oder beschlagnahmt werden dürfen, zu versiegeln und dürfen von den Strafbehörden weder eingesehen noch verwendet werden (Abs. 1). Stellt die Strafbehörde nicht innert 20 Tagen ein Entsiegelungsgesuch, so werden die versiegelten Aufzeichnungen und Gegenstände der berechtigten Person zurückgegeben (Abs. 2). Stellt sie ein Entsiegelungsgesuch, so entscheidet im Vorverfahren darüber innerhalb eines Monats endgültig das Zwangsmassnahmengericht (Abs. 3 lit. a).</w:t>
      </w:r>
    </w:p>
    <w:p>
      <w:r>
        <w:rPr>
          <w:b/>
        </w:rPr>
        <w:t>E. 2.2</w:t>
      </w:r>
    </w:p>
    <w:p>
      <w:r>
        <w:t>Das Entsiegelungsverfahren vor dem Zwangsmassnahmengericht dient im Vorverfahren der gerichtlichen Prüfung, ob rechtlich geschützte Geheimhaltungsinteressen im Sinne von Art. 248 Abs. 1 StPO einer Durchsuchung von sichergestellten und versiegelten Gegenständen durch die Staatsanwaltschaft entgegenstehen ( Art. 246-248 StPO ). Berechtigt, ein Siegelungsbegehren zu stellen und als Parteien - oder als von Zwangsmassnahmen unmittelbar betroffene Dritte ( Art. 105 Abs. 1 lit. f und Abs. 2 StPO ) - am Entsiegelungsverfahren teilzunehmen, sind die Inhaberinnen und Inhaber der gesiegelten Aufzeichnungen und Unterlagen, die rechtlich geschützte Geheimnisinteressen rechtzeitig geltend machen ( Art. 248 Abs. 1 StPO ; BGE 144 IV 74 E. 2.2; 142 IV 207 E. 11 mit Hinweisen). Auch geheimnisberechtigte Personen, die keinen direkten Gewahrsam an den versiegelten Gegenständen inne haben (zum Beispiel von Berufsgeheimnissen geschützte Personen), können gegebenenfalls legitimiert sein (vgl. BGE 140 IV 28 E. 4.3.4-4.3.5; Urteil 1B_487/2018 vom 6. Februar 2019 E. 2.3 mit Hinweisen). Soweit sie indes nicht in ihren eigenen rechtlich geschützten Geheimnisrechten betroffen werden, sind weder beschuldigte Personen noch die Privatklägerschaft berechtigt, Entsiegelungsentscheide anzufechten oder als Parteien am Entsiegelungsverfahren teilzunehmen (vgl. BGE 142 IV 207 E. 11; siehe zum Ganzen: Urteil 1B_497/2020 vom 22. Juli 2021 E. 4.1).</w:t>
      </w:r>
    </w:p>
    <w:p>
      <w:r>
        <w:rPr>
          <w:b/>
        </w:rPr>
        <w:t>E. 2.3</w:t>
      </w:r>
    </w:p>
    <w:p>
      <w:r>
        <w:t>Nach dem insoweit klaren Wortlaut des Gesetzes liegt die Befugnis, beim zuständigen Gericht ein Entsiegelungsgesuch zu stellen, allein bei der "Strafbehörde" ("autorité pénale"; "autorità penale"; Art. 248 Abs. 2 StPO ). Demgegenüber sieht das Gesetz keine Befugnis der beschuldigten Person oder der Privatklägerschaft vor, ein entsprechendes Begehren zu stellen (vgl. Urteil 1B_35/2018 vom 30. August 2018 E. 2.2); Gleiches muss grundsätzlich auch für die Beschwerde gegen die Verweigerung einer Entsiegelung gelten. Das ist folgerichtig, dient doch das Entsiegelungsverfahren nicht den rein prozesstaktischen Interessen von beschuldigten Personen oder der Privatklägerschaft im Hinblick auf eine möglichst restriktive oder extensive Erhebung von Beweismitteln (vgl. Urteil 1B_497/2020 vom 22. Juli 2021 E. 4.1). Im Übrigen ist es den Parteien unbenommen, auch noch im späteren Verlauf des Verfahrens entsprechende Beweisanträge zu stellen ( Art. 107 Abs. 1 lit.e StPO ) und gegebenenfalls zu wiederholen.</w:t>
      </w:r>
    </w:p>
    <w:p>
      <w:r>
        <w:rPr>
          <w:b/>
        </w:rPr>
        <w:t>E. 2.4</w:t>
      </w:r>
    </w:p>
    <w:p>
      <w:r>
        <w:t>Die Beschwerdeführer sind die im vorliegenden Strafverfahren beschuldigten Personen und bereits aus diesem Grund prinzipiell nicht berechtigt, gegen die Verweigerung der Entsiegelung ein Rechtsmittel einzulegen. Sie legen sodann nicht dar und es ist auch nicht ersichtlich, dass sie sich auf gesetzlich geschützte Interessen berufen könnten (vgl. auch Urteil 1B_497/2020 vom 22. Juli 2021 E. 4.2). Vor allem aber könnten sie, wie gesehen, allfällige geheimnisgeschützte Interessen ohnehin nur</w:t>
      </w:r>
    </w:p>
    <w:p>
      <w:r>
        <w:t>gegen eine Entsiegelung ins Feld führen; vorliegend streben sie aber die Entsiegelung an. Zwar bringen sie auch vor, durch die Verweigerung der Entsiegelung würden ihre Verteidigungsrechte in unzulässiger Weise stark eingeschränkt. Damit machen sie indessen im Entsiegelungsverfahren nicht zu berücksichtigende prozesstaktische Interessen an einer Erhebung der gesiegelten Unterlagen als Beweismittel geltend (vgl. E. 2.3).</w:t>
      </w:r>
    </w:p>
    <w:p>
      <w:r>
        <w:t>Sodann ist nicht erkennbar, dass die Gefahr eines definitiven Beweisverlustes bestehen würde. Die gesiegelten Unterlagen könnten nämlich, sollten sie an das Unternehmen F.________ zurückgegeben werden, von Amtes wegen oder auf Antrag hin jederzeit wieder bei diesem ediert werden. Den Beschwerdeführern bleibt es unbenommen, diesbezügliche Beweisanträge zu stellen bzw. zu einem späteren Zeitpunkt zu wiederholen (vgl. E. 2.3). Auch insofern droht ihnen kein Rechtsnachteil im Sinne von Art. 93 Abs. 1 lit. a BGG (vgl. zur ausnahmsweisen Möglichkeit der Anfechtung von Zwischenentscheiden bei drohendem definitiven Beweisverlust Urteil 1B_35/2018 vom 30. August 2018 E. 3).</w:t>
      </w:r>
    </w:p>
    <w:p>
      <w:r>
        <w:t>Unter diesen Umständen ist auf die Beschwerde mangels nicht wieder gutzumachenden Rechtsnachteils ( Art. 93 Abs. 1 lit. a BGG ) nicht einzutreten.</w:t>
      </w:r>
    </w:p>
    <w:p>
      <w:r>
        <w:rPr>
          <w:b/>
        </w:rPr>
        <w:t>E. 3</w:t>
      </w:r>
    </w:p>
    <w:p>
      <w:r>
        <w:t>Bei diesem Verfahrensausgang tragen die Beschwerdeführer die Gerichtskosten unter solidarischer Haftung ( Art. 66 Abs. 1 und 5 BGG ). Sie haben der anwaltlich vertretenen privaten Beschwerdegegnerin unter solidarischer Haftbarkeit eine angemessene Parteientschädigung auszurichten (Art. 68 Abs. 2 und 4 i.V.m. Art. 66 Abs. 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