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451/2017 vom 7. Dezember 2017</w:t>
      </w:r>
    </w:p>
    <w:p>
      <w:r>
        <w:t>Bundesgericht, 2017-12-07, FR</w:t>
      </w:r>
    </w:p>
    <w:p>
      <w:r>
        <w:rPr>
          <w:b/>
        </w:rPr>
        <w:t xml:space="preserve">Quelle: </w:t>
      </w:r>
      <w:r>
        <w:t>https://mcp.opencaselaw.ch/entscheid/bger_1B_451_2017</w:t>
      </w:r>
    </w:p>
    <w:p>
      <w:r>
        <w:t>FR: TF 1B 451/2017 du 7 décembre 2017</w:t>
      </w:r>
    </w:p>
    <w:p>
      <w:r>
        <w:t>IT: TF 1B 451/2017 del 7 dicembre 2017</w:t>
      </w:r>
    </w:p>
    <w:p>
      <w:pPr>
        <w:pStyle w:val="Heading2"/>
      </w:pPr>
      <w:r>
        <w:t>Regeste</w:t>
      </w:r>
    </w:p>
    <w:p>
      <w:r>
        <w:t>Procédure pénale; refus de révoquer un mandat d'amener; recevabilité du recours cantonal | Procédure pénale</w:t>
      </w:r>
    </w:p>
    <w:p>
      <w:pPr>
        <w:pStyle w:val="Heading2"/>
      </w:pPr>
      <w:r>
        <w:t>Erwägungen</w:t>
      </w:r>
    </w:p>
    <w:p>
      <w:r>
        <w:rPr>
          <w:b/>
        </w:rPr>
        <w:t>E. 1</w:t>
      </w:r>
    </w:p>
    <w:p>
      <w:r>
        <w:t>Selon l' art. 78 LTF , le recours en matière pénale est ouvert contre les décisions rendues en matière pénale. La notion de "décisions en matière pénale" comprend toutes les décisions qui se fondent sur le droit pénal matériel ou le droit de procédure pénale. Elle s'étend donc à un prononcé relatif à un mandat d'arrêt ou d'amener. Alors que les décisions du Procureur se rapportaient à un mandat d'arrêt, la cour cantonale a apparemment considéré qu'il s'agissait d'un mandat d'amener, sans toutefois motiver ce changement de dénomination; nul ne conteste, à ce stade de la procédure, cette définition de l'objet du litige, et il n'appartient dès lors pas au Tribunal fédéral, lié par les faits constatés en instance cantonale ( art. 105 al. 1 LTF ), de s'écarter de cette définition telle qu'elle ressort de l'arrêt attaqué. Au demeurant, les considérations qui suivent, relatives au mandat d'amener, devraient s'appliquer a fortiori à un mandat d'arrêt.</w:t>
      </w:r>
    </w:p>
    <w:p>
      <w:r>
        <w:rPr>
          <w:b/>
        </w:rPr>
        <w:t>E. 1.1</w:t>
      </w:r>
    </w:p>
    <w:p>
      <w:r>
        <w:t>Indépendamment de la nature de la décision du Ministère public, l'auteur d'un recours déclaré irrecevable en instance cantonale a qualité, au sens de l' art. 81 LTF , pour contester ce prononcé. Lorsqu'un recours porte sur la question de l'existence même d'un recours cantonal, le recours auprès du Tribunal fédéral est en principe recevable indépendamment de l'exigence d'un préjudice irréparable au sens de l' art. 93 al. 1 let. a LTF ( ATF 138 IV 258 consid. 1.1 p. 261; arrêt 1B_37/2014 du 10 juin 2014 consid. 1 publié in SJ 2015 I 73).</w:t>
      </w:r>
    </w:p>
    <w:p>
      <w:r>
        <w:rPr>
          <w:b/>
        </w:rPr>
        <w:t>E. 1.2</w:t>
      </w:r>
    </w:p>
    <w:p>
      <w:r>
        <w:t>Pour le surplus, le recours est formé en temps utile ( art. 100 al. 1 LTF ) contre une décision rendue en dernière instance cantonale ( art. 80 LTF ) et les conclusions présentées sont recevables au regard de l' art. 107 al. 2 LTF . Il n'y a pas besoin de se prononcer sur le caractère nouveau, et partant irrecevable, de la pièce produite par le recourant le 5 décembre 2017, dès lors qu'elle est sans incidence sur l'issue du recours et qu'il en sera fait abstraction.</w:t>
      </w:r>
    </w:p>
    <w:p>
      <w:r>
        <w:rPr>
          <w:b/>
        </w:rPr>
        <w:t>E. 2</w:t>
      </w:r>
    </w:p>
    <w:p>
      <w:r>
        <w:t>Il n'est pas contesté que le mandat d'amener, respectivement le refus de le révoquer, ont bien une nature décisionnelle. Le mandat d'amener ( art. 207 ss CPP ) fait en effet partie des mesures de contrainte ( art. 196 CPP ) tendant à obliger une personne à se présenter personnellement à un acte de procédure; si nécessaire, il autorise la police à recourir à la force et à pénétrer dans les bâtiments et habitations ( art. 208 al. 2 CPP ; ATF 138 I 425 consid. 4.4; DONATSCH/HANSJAKOB/LIEBER, Kommentar zur StPO, Zurich 2014 n. 6 ss ad art. 207). Il porte ainsi une atteinte évidente à la liberté de la personne concernée (SCHMID/JOSITSCH, Handbuch des schweizerischen Strafprozessrechts, Zurich 2017 p. 411; MOREILLON/PAREIN-REYMOND, Petit commentaire, Code de procédure pénale, Bâle 2016 p. 659 n° 1; RÜEGGER, in Basler Kommentar, Schweizerische Strafprozessordnung, 2ème éd. 2014, n. 2 ad art. 207). A la différence de l' art. 393 let. b CPP qui réserve, s'agissant des décisions des tribunaux de première instance, les actes de la direction de la procédure, c'est-à-dire ceux qui concernent le déroulement de la procédure, l' art. 393 let. a CPP s'étend à l'ensemble des décisions et des actes de procédure du ministère public (SCHMID/JOSITSCH, op. cit. p. 675); pour autant que l'on puisse, de ce point de vue, assimiler le mandat d'amener à une simple convocation ou à un acte de procédure effectué par la police sur délégation du ministère public, il n'y aurait pas non plus d'exception au droit de recourir (RÜEGGER, op. cit. n. 10 ad art. 207; GUIDON, in Basler Kommentar, Schweizerische Strafprozessordnung, 2ème éd. 2014 n. 10 ad art. 393; KUHN/JEANNERET, Code de procédure pénale suisse, Bâle 2011, n. 44 ss ad art. 207; SCHMID/JOSITSCH, op. cit. pp. 674-675, qui mentionnent également le mandat de comparution, p. 677; MOREILLON/PAREIN-REYMOND, op. cit. p. 660 n. 6 et p. 1298 ch. 12; DONATSCH/HANSJAKOB/LIEBER, op. cit. n. 33 ad art. 207 et n. 15 ad art. 393; SCHMID, Schweizerische Strafprozessordnung, Praxiskommentar, Zurich 2013, n. 9 ad art. 207 et n. 5 ad art. 393).</w:t>
      </w:r>
    </w:p>
    <w:p>
      <w:r>
        <w:rPr>
          <w:b/>
        </w:rPr>
        <w:t>E. 2.3</w:t>
      </w:r>
    </w:p>
    <w:p>
      <w:r>
        <w:t>Dans la mesure où le mandat d'amener n'a pas à être communiqué préalablement à l'intéressé et doit en principe être exécuté immédiatement par la police après présentation à la personne visée ( art. 209 al. 2 CPP ), un recours contre cette mesure - d'ailleurs dénué d'effet suspensif - ne satisferait pas à l'exigence d'un intérêt actuel et pratique (DONATSCH/HANSJAKOB/LIEBER, op. cit. n. 33 ad art. 207). Un recours ultérieur peut toutefois tendre à une décision de constatation de son illicéité, notamment sous l'angle de la proportionnalité (arrêt 1B_160/2012 du 20 septembre 2012 consid. 2.3.1; KUHN/JEANNERET, op. cit. n. 46 ad art. 207). En revanche, lorsqu'exceptionnellement l'intéressé a connaissance, préalablement à son exécution, de l'existence du mandat d'amener décerné à son encontre, il dispose d'un intérêt actuel à recourir tant que ce mandat n'est pas exécuté puisque son exécution est de nature à porter atteinte aux droits fondamentaux de l'intéressé ( art. 10 al. 2 Cst. ). Tel est le cas en l'occurrence, le Ministère public ayant dû préalablement procéder par la voie de l'entraide pénale internationale pour en obtenir l'exécution. Contrairement à ce que soutiennent la cour cantonale et le Ministère public, le recours n'est pas dirigé contre la demande d'extradition adressée à l'étranger (auquel cas il serait irrecevable en application de l' art. 25 al. 2 EIMP ), mais contre la décision prise dans la procédure pénale interne, qui en constitue le fondement au même titre qu'une décision de condamnation ou un mandat d'arrêt pour une demande d'extradition. L'existence d'une procédure d'entraide judiciaire ne saurait dès lors faire échec au droit de recours reconnu par la loi.</w:t>
      </w:r>
    </w:p>
    <w:p>
      <w:r>
        <w:rPr>
          <w:b/>
        </w:rPr>
        <w:t>E. 2.4</w:t>
      </w:r>
    </w:p>
    <w:p>
      <w:r>
        <w:t>Dans sa lettre du 13 juillet 2017, le recourant relevait qu'il avait été entendu à Londres durant deux jours; il se disait disposé à venir à Genève pour être entendu à la condition d'obtenir un sauf-conduit et pour autant que les autorités britanniques lui assurent que cela n'aurait pas d'incidence sur sa situation juridique. Il proposait, alternativement, d'être réentendu à Londres et demandait la levée du mandat d'arrêt. Le 17 juillet 2017, le Ministère public lui a répondu que s'il s'engageait à se présenter aux convocations moyennant sauf-conduit, la nécessité de maintenir le mandat d'arrêt serait examinée. Le 21 juillet 2017, le recourant a dit avoir entrepris des démarches afin de pouvoir quitter le territoire britannique; il estimait disproportionné de maintenir le mandat d'arrêt en attendant l'issue de ses démarches; il pouvait être entendu par d'autres moyens. Dans sa décision attaquée, le Ministère public a relevé que le recourant n'avait pas agi contre le mandat d'arrêt initial; il a ensuite estimé que les charges étaient suffisantes à l'encontre du recourant et qu'une audition par vidéoconférence n'était pas adéquate pour un prévenu dont la présence, en cas de procès, serait nécessaire. Le recourant n'a certes pas agi contre le mandat d'arrêt initial du 21 décembre 2016; on ignore au demeurant la date à laquelle il en a eu effectivement connaissance. L'absence de recours initial ne privait toutefois pas le recourant d'obtenir par la suite un nouveau contrôle de la légalité de la mesure de contrainte. En effet, selon l' art. 197 CPP toute mesure de contrainte doit reposer sur une base légale, des soupçons suffisants (al. 1 let. a et b), et respecter le principe de proportionnalité (let. c et d). Sur ces points, le CPP vient concrétiser les principes généraux découlant de l' art. 36 Cst. (WEBER, in Basler Kommentar, Schweizerische Strafprozessordnung, 2ème éd. 2014, Vorbemerkung et n. 9 ad art. 197). Ces conditions doivent être satisfaites aussi longtemps que dure la mesure en question; une mesure de contrainte admissible dans un premier temps peut en effet devenir disproportionnée après une certaine durée ( ATF 131 I 425 consid. 6.4 p. 435; WEBER, op. cit. n. 11 ad art. 197). Pour les mesures dont les effets se prolongent dans le temps (détention, séquestre), la loi prévoit un contrôle périodique, d'office ou sur demande de la personne concernée ( art. 227 et 228 CPP pour la détention provisoire, art. 267 al. 1 CPP pour le séquestre). Elle ne le prévoit certes pas pour un mandat d'amener car celui-ci est, comme on l'a vu, en principe immédiatement exécuté. Toutefois, lorsqu'en raison des circonstances un tel mandat demeure en vigueur et continue de déployer ses effets, l'intéressé doit pouvoir remettre en cause sa proportionnalité, tout manquement à ce principe étant constitutif d'une atteinte à ses droits fondamentaux (KUHN/JEANNERET, op. cit. n. 10 ad art. 197 CPP ). Dès lors, si un recours est ouvert, aux conditions susmentionnées (consid. 2.2), contre le prononcé d'un mandat, le maintien d'un tel mandat ou le refus de le révoquer doit également pouvoir faire l'objet d'un recours, conformément à la garantie constitutionnelle de l'accès au juge ( art. 393 CPP et 29a Cst.).</w:t>
      </w:r>
    </w:p>
    <w:p>
      <w:r>
        <w:rPr>
          <w:b/>
        </w:rPr>
        <w:t>E. 3</w:t>
      </w:r>
    </w:p>
    <w:p>
      <w:r>
        <w:t>Sur le vu de ce qui précède, l'arrêt cantonal qui dénie toute possibilité de recourir contre la décision du Ministère public, viole le droit fédéral ainsi que la garantie de l'accès au juge ( art. 29a Cst. ). La cause doit dès lors être renvoyée à la Chambre pénale de recours pour nouvelle décision sur le fond. Le recourant, qui obtient gain de cause, a droit à des dépens, à la charge du canton de Genève ( art. 68 al. 2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