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1B_451/2015 vom 26. Januar 2016</w:t>
      </w:r>
    </w:p>
    <w:p>
      <w:r>
        <w:t>Bundesgericht, 2016-01-26, DE</w:t>
      </w:r>
    </w:p>
    <w:p>
      <w:r>
        <w:rPr>
          <w:b/>
        </w:rPr>
        <w:t xml:space="preserve">Quelle: </w:t>
      </w:r>
      <w:r>
        <w:t>https://mcp.opencaselaw.ch/entscheid/bger_1B_451_2015</w:t>
      </w:r>
    </w:p>
    <w:p>
      <w:r>
        <w:t>FR: TF 1B_451/2015 du 26 janvier 2016</w:t>
      </w:r>
    </w:p>
    <w:p>
      <w:r>
        <w:t>IT: TF 1B_451/2015 del 26 gennaio 2016</w:t>
      </w:r>
    </w:p>
    <w:p>
      <w:pPr>
        <w:pStyle w:val="Heading2"/>
      </w:pPr>
      <w:r>
        <w:t>Erwägungen</w:t>
      </w:r>
    </w:p>
    <w:p>
      <w:r>
        <w:rPr>
          <w:b/>
        </w:rPr>
        <w:t>E. 1.1</w:t>
      </w:r>
    </w:p>
    <w:p>
      <w:r>
        <w:t>Der angefochtene Entscheid des Obergerichts des Kantons Aargau ist als kantonal letztinstanzlicher Entscheid über die Verlängerung der Sicherheitshaft beim Bundesgericht mit Beschwerde in Strafsachen anfechtbar (vgl. Art. 222 StPO und Art. 80 BGG ). Die Eingaben des Häftlings sind dementsprechend entgegenzunehmen. Dieser nahm vor der Vorinstanz am Verfahren teil und hat als Inhaftierter und direkt betroffener Adressat des angefochtenen Entscheides ein aktuelles rechtlich geschütztes Interesse an dessen Änderung bzw. Aufhebung. Er ist mithin nach Art. 81 Abs. 1 BGG zur Beschwerde berechtigt.</w:t>
      </w:r>
    </w:p>
    <w:p>
      <w:r>
        <w:rPr>
          <w:b/>
        </w:rPr>
        <w:t>E. 1.2</w:t>
      </w:r>
    </w:p>
    <w:p>
      <w:r>
        <w:t>Der Beschwerdeführer wird im Strafverfahren amtlich verteidigt, tritt aber im vorliegenden bundesgerichtlichen Verfahren ohne Rechtsvertretung in eigener Sache auf. Das zwischenzeitlich gestellte Gesuch um unentgeltliche Verbeiständung wurde durch den Widerruf der Anwaltsvollmacht hinfällig. Für eine notwendige Vertretung besteht kein Anlass.</w:t>
      </w:r>
    </w:p>
    <w:p>
      <w:r>
        <w:rPr>
          <w:b/>
        </w:rPr>
        <w:t>E. 1.3</w:t>
      </w:r>
    </w:p>
    <w:p>
      <w:r>
        <w:t>Der Beschwerdeführer befindet sich im Kanton Aargau in Sicherheitshaft. Das strafrechtliche Vollzugsverfahren im Kanton Zürich steht hier nicht zur Diskussion. Aber auch hinsichtlich des aargauischen Verfahrens bildet Streitgegenstand einzig die prozessuale Frage der Haftverlängerung. Soweit sich der Beschwerdeführer gegen die Anordnung der Verwahrung nach Art. 59 StGB wendet, wirft er nicht eine Frage strafprozessualer Haft, sondern eine solche des materiellen Strafrechts auf. Darüber ist im Berufungsverfahren zu entscheiden, weshalb im vorliegenden Verfahren darauf nicht eingetreten werden kann. Soweit der Beschwerdeführer den Ausstand eines Richters verlangt, hat er dies offenbar im obergerichtlichen Verfahren noch nicht geltend gemacht. Darauf kann daher bereits mangels vorinstanzlichen Streitgegenstands nicht eingetreten werden. Im Übrigen hätte ein solches Gesuch sofort bereits bei der betroffenen Instanz eingereicht werden müssen, weshalb das entsprechende Anliegen des Beschwerdeführers ohnehin verspätet erscheint.</w:t>
      </w:r>
    </w:p>
    <w:p>
      <w:r>
        <w:rPr>
          <w:b/>
        </w:rPr>
        <w:t>E. 1.4</w:t>
      </w:r>
    </w:p>
    <w:p>
      <w:r>
        <w:t>Mit ihrer als "Einsprache" bezeichneten Eingabe wendet sich auch die Partnerin des Beschwerdeführers in erster Linie gegen dessen strafrechtliche Verwahrung, weshalb sie sich schon deswegen im vorliegenden Verfahren als unzulässig erweist. Auf ihre Eingabe kann aber darüber hinaus als Ganzes nicht als Beschwerde eingetreten werden, weil die Partnerin am hier fraglichen Haftverfahren bisher nicht beteiligt war und deshalb nicht zur Beschwerdeführung an das Bundesgericht legitimiert ist (vgl. Art. 81 Abs. 1 BGG ). Die Eingabe ist auch als Unterstützungsschreiben nicht zur Kenntnis zu nehmen, da es sich als solches um ein neues Beweismittel handelt, dessen Einreichung erst vor Bundesgericht ausgeschlossen ist (vgl. Art. 99 Abs. 1 BGG ).</w:t>
      </w:r>
    </w:p>
    <w:p>
      <w:r>
        <w:rPr>
          <w:b/>
        </w:rPr>
        <w:t>E. 1.5</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Strafprozessordnung frei ( BGE 138 IV 186 E. 1.2 S. 189 mit Hinweisen).</w:t>
      </w:r>
    </w:p>
    <w:p>
      <w:r>
        <w:rPr>
          <w:b/>
        </w:rPr>
        <w:t>E. 2.1</w:t>
      </w:r>
    </w:p>
    <w:p>
      <w:r>
        <w:t>Das Bundesgericht wendet das Recht von Amtes wegen an ( Art. 106 Abs. 1 BGG ), prüft die bei ihm angefochtenen Entscheide aber grundsätzlich nur auf Rechtsverletzungen hin, die von den Beschwerdeführern geltend gemacht und begründet werden (vgl. Art. 42 Abs. 2 BGG sowie Art. 106 Abs. 2 BGG für behauptete Grundrechtsverletzungen;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2.2</w:t>
      </w:r>
    </w:p>
    <w:p>
      <w:r>
        <w:t>Der Beschwerdeführer nennt keine konkrete strafprozessuale Bestimmung, die verletzt sein soll. Sinngemäss kann seinen Eingaben aber entnommen werden, dass er die Auffassung vertritt, die gesetzlichen Haftvoraussetzungen seien in seinem Fall nicht (mehr) erfüllt. Da es sich um eine Laienbeschwerde handelt, kann in diesem Rahmen darauf eingetreten werden. Soweit der Beschwerdeführer allerdings auch die Sachverhaltsfeststellungen der Vorinstanz in Frage stellt, legt er nicht dar, inwiefern diese offensichtlich unrichtig sein sollten. Das gilt insbesondere für die tatsächlichen Folgerungen, die das Obergericht aus dem im Strafverfahren erstellten psychiatrischen Gutachten zieht. Diese sind daher im vorliegenden Verfahren für das Bundesgericht verbindlich ( Art. 105 Abs. 1 und 2 BGG ).</w:t>
      </w:r>
    </w:p>
    <w:p>
      <w:r>
        <w:rPr>
          <w:b/>
        </w:rPr>
        <w:t>E. 3.1</w:t>
      </w:r>
    </w:p>
    <w:p>
      <w:r>
        <w:t>Nach den Grundvoraussetzungen von Art. 221 StPO ist Sicherheitshaft insbesondere nur zulässig, wenn die beschuldigte Person eines Verbrechens oder Vergehens dringend verdächtig ist und ein im Gesetz genannter Haftgrund vorliegt. Gemäss Art. 221 Abs. 1 lit. c StPO liegt namentlich der Haftgrund der Wiederholungsgefahr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Gemäss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Erforderlich ist allerdings eine sehr ungünstige Rückfallprognose ( BGE 137 IV 84 E. 3.2 S. 85 f. ; 135 I 71 E. 2.3 S. 73; je mit Hinweisen). Art. 221 Abs. 1 lit. c StPO setzt die ernsthafte Befürchtung voraus, dass die beschuldigte Person durch Verbrechen oder schwere Vergehen die Sicherheit anderer erheblich gefährdet, nachdem sie bereits früher gleichartige Strafen verübt hat (vgl. BGE 137 IV 84 E. 3.2 S. 85 f.). Ein weiterer Haftgrund stellt gemäss Art. 221 Abs. 2 StPO die Ausführungsgefahr dar, die dann vorliegt, wenn ernsthaft zu befürchten ist, eine Person werde ihre Drohung, ein schweres Verbrechen auszuführen, wahr machen.</w:t>
      </w:r>
    </w:p>
    <w:p>
      <w:r>
        <w:rPr>
          <w:b/>
        </w:rPr>
        <w:t>E. 3.2</w:t>
      </w:r>
    </w:p>
    <w:p>
      <w:r>
        <w:t>Sodann hat die Haft wie alle strafprozessualen Zwangsmassnahmen verhältnismässig zu sein (vgl. insbes. Art. 197 StPO ) und sie darf nicht länger dauern als die zu erwartende Freiheitsstrafe ( Art. 212 Abs. 3 StPO ). Nach Art. 237 StPO sind anstelle der Haft eine oder mehrere mildere Massnahmen anzuordnen, wenn sie den gleichen Zweck wie die Haft erfüllen. Geht es um die Verlängerung einer bereits bestehenden Haft, müssen die Haftvoraussetzungen aktuell vorliegen bzw. weiterbestehen, und der Haftrichter hat dies auch zu prüfen.</w:t>
      </w:r>
    </w:p>
    <w:p>
      <w:r>
        <w:rPr>
          <w:b/>
        </w:rPr>
        <w:t>E. 3.3</w:t>
      </w:r>
    </w:p>
    <w:p>
      <w:r>
        <w:t>Der Beschwerdeführer bestreitet das Vorliegen eines massgeblichen dringenden Tatverdachts nicht, sondern bestätigt mit seinen Angaben vielmehr weitgehend die ihm vorgeworfenen Handlungen. Zudem wurde der Beschwerdeführer bereits erstinstanzlich verurteilt. Der dringende Tatverdacht steht ausser Zweifel.</w:t>
      </w:r>
    </w:p>
    <w:p>
      <w:r>
        <w:rPr>
          <w:b/>
        </w:rPr>
        <w:t>E. 3.4</w:t>
      </w:r>
    </w:p>
    <w:p>
      <w:r>
        <w:t>Mit Blick auf den Haftgrund der Wiederholungsgefahr ist beim Beschwerdeführer hauptsächlich das psychiatrische Gutachten vom 27. April 2015 wesentlich. Die Vorinstanz hat jedoch nicht nur darauf abgestellt, sondern auch die seitherige Entwicklung berücksichtigt, auf die sich der Beschwerdeführer im Übrigen ebenfalls beruft. Insbesondere macht er geltend, er verhalte sich seit einiger Zeit klaglos und habe sich soweit stabilisiert, dass er bei einer Haftentlassung keine Gefahr mehr darstelle, was umso mehr gelte, wenn er mit seiner Partnerin in seiner Wohnung leben könnte. Indessen ist der Beschwerdeführer seit einigen Jahren psychisch behandlungsbedürftig, und bis heute vermochte keine therapeutische Massnahme, insbesondere die im Kanton Zürich strafrechtlich angeordnete ambulante Behandlung, eine nachhaltige Besserung zu bewirken. Der Beschwerdeführer wurde immer wieder - anscheinend um die 50 Mal - fürsorgerisch untergebracht und fiel wiederholt durch Drohungen gegenüber Betreuungspersonen auf. Gemäss dem Gutachten besteht eine erhebliche Gefahr, dass er gegenüber Dritten gewalttätig werden könnte. Zwar ist er angeblich gewillt, sich wohl zu verhalten; aufgrund der bisherigen Erfahrungen und der gutachterlichen Einschätzung muss aber davon ausgegangen werden, dass ihm dies jedenfalls so lange nicht gelingen wird, als eine therapeutische Massnahme nicht erfolgreich war. Die Einschätzung der Vorinstanz, dass die gegenwärtige Stabilisierung in erster Linie auf den ihm in der Therapie gebotenen schützenden Rahmen zurückgeht, ist nachvollziehbar und jedenfalls nicht offensichtlich unrichtig. Der Beschwerdeführer ist therapeutisch noch nicht so weit, dass mit ausreichender Wahrscheinlichkeit gesichert wäre, er würde dank des Zusammenlebens mit seiner Partnerin in der eigenen Wohnung nicht rückfällig oder gewalttätig. Ob und wie dies im Rahmen der ausgesprochenen, aber noch nicht rechtskräftigen stationären Massnahme nach Art. 59 StGB zu beurteilen wäre, ist hier nicht zu entscheiden (vgl. E. 1.2). Mit Blick auf die in Frage stehende Sicherheitshaft ist jedenfalls zurzeit vom Fortbestand der Wiederholungsgefahr auszugehen. Ob auch Ausführungsgefahr vorliegt, kann unter diesen Umständen offen bleiben.</w:t>
      </w:r>
    </w:p>
    <w:p>
      <w:r>
        <w:rPr>
          <w:b/>
        </w:rPr>
        <w:t>E. 3.5</w:t>
      </w:r>
    </w:p>
    <w:p>
      <w:r>
        <w:t>Bei der Beurteilung der Verhältnismässigkeit der Haft ist insbesondere ihre bisherige Dauer zu berücksichtigen. Nach der bundesgerichtlichen Rechtsprechung kommt es dabei nicht nur auf die zu erwartende Freiheitsstrafe an, sondern auch auf die Möglichkeit einer freiheitsentziehenden Massnahme (Urteil des Bundesgerichts 1B_20/2015 vom 18. Februar 2015 E. 2.3 mit Hinweisen). Die Gesamtdauer der Haft und eines allfälligen vorzeitigen Straf- oder Massnahmenvollzugs darf dabei nicht in grosse Nähe zur zu erwartenden Sanktion rücken, um diese nicht zu präjudizieren ( BGE 139 IV 270 E. 3.1 S. 275 mit Hinweisen).</w:t>
      </w:r>
    </w:p>
    <w:p>
      <w:r>
        <w:rPr>
          <w:b/>
        </w:rPr>
        <w:t>E. 3.6</w:t>
      </w:r>
    </w:p>
    <w:p>
      <w:r>
        <w:t>Die erstinstanzlich ausgesprochene Freiheitsstrafe von zwölf Monaten reflektiert bis zu einem gewissen Grad das strafrechtliche Verschulden des Beschwerdeführers. Sie gibt für die Beurteilung der Zulässigkeit der Haft aber nicht allein den Ausschlag, sondern es kommt auch auf die mögliche Dauer der stationären therapeutischen Massnahme nach Art. 59 Abs. 1 StGB an. Einerseits darf somit nicht übersehen bleiben, dass die bisherige Haftdauer von rund einem Jahr bereits die ausgesprochene Freiheitsstrafe abdeckt. Andererseits bewegt sie sich noch nicht in grosser Nähe der konkret zu erwartenden Gesamtdauer des stationären Massnahmenvollzugs. Die Haft ist daher zurzeit noch rechtmässig. Mit Blick auf den bereits erfolgten Freiheitsentzug und das prozessuale Beschleunigungsgebot erträgt das Verfahren jedoch kaum noch grössere Verzögerungen.</w:t>
      </w:r>
    </w:p>
    <w:p>
      <w:r>
        <w:rPr>
          <w:b/>
        </w:rPr>
        <w:t>E. 3.7</w:t>
      </w:r>
    </w:p>
    <w:p>
      <w:r>
        <w:t>Ersatzmassnahmen sind nicht ersichtlich und werden vom Beschwerdeführer auch nicht beantragt.</w:t>
      </w:r>
    </w:p>
    <w:p>
      <w:r>
        <w:rPr>
          <w:b/>
        </w:rPr>
        <w:t>E. 4</w:t>
      </w:r>
    </w:p>
    <w:p>
      <w:r>
        <w:t>Die Beschwerde erweist sich als unbegründet und ist abzuweisen, soweit darauf eingetreten werden kann.</w:t>
      </w:r>
    </w:p>
    <w:p>
      <w:r>
        <w:t>Aufgrund der besonderen Umstände rechtfertigt es sich, von der Erhebung von Gerichtskosten abzusehen (vgl. Art. 66 Abs. 1 BGG ). Über eine allfällige unentgeltliche Rechtspflege braucht damit nicht entschieden zu werden.</w:t>
      </w:r>
    </w:p>
    <w:p>
      <w:r>
        <w:t>Dieses Urteil ist nebst den Verfahrensbeteiligten dem amtlichen Verteidiger des Beschwerdeführers im Strafverfahren zur Kenntnisnahme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