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1B_44/2023 vom 21. März 2023</w:t>
      </w:r>
    </w:p>
    <w:p>
      <w:r>
        <w:t>Bundesgericht, 2023-03-21, FR</w:t>
      </w:r>
    </w:p>
    <w:p>
      <w:r>
        <w:rPr>
          <w:b/>
        </w:rPr>
        <w:t xml:space="preserve">Quelle: </w:t>
      </w:r>
      <w:r>
        <w:t>https://mcp.opencaselaw.ch/entscheid/bger_1B_44_2023</w:t>
      </w:r>
    </w:p>
    <w:p>
      <w:r>
        <w:t>FR: TF 1B_44/2023 du 21 mars 2023</w:t>
      </w:r>
    </w:p>
    <w:p>
      <w:r>
        <w:t>IT: TF 1B_44/2023 del 21 marzo 2023</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recourir ( art. 81 al. 1 LTF ). Le recours a été interjeté en temps utile contre une décision rendue par une autorité cantonale statuant en tant qu'instance unique ( art. 80 al. 2 LTF et 59 al. 1 let. b CPP) et les conclusions prises sont recevables ( art. 107 LTF ). Il y a donc lieu d'entrer en matière.</w:t>
      </w:r>
    </w:p>
    <w:p>
      <w:r>
        <w:rPr>
          <w:b/>
        </w:rPr>
        <w:t>E. 2</w:t>
      </w:r>
    </w:p>
    <w:p>
      <w:r>
        <w:t>Invoquant l' art. 56 let . f CPP, le recourant estime que même s'il avait le statut de partie plaignante dans la première procédure et de prévenu dans la seconde, il y aurait lieu de tenir compte des accusations de relations sexuelles avec des mineures qui étaient au centre de la première procédure et au sujet desquelles le magistrat s'était prononcé dans son jugement du 1er novembre 2022. Celui-ci retient notamment le caractère "problématique... des actes de nature sexuelle entre un professeur et une de ses élèves", mentionne des "gestes déplacés", et considère que le rapport officiel "confirme l'existence des accusations précédemment révélées par la presse". S'exprimant ainsi, le Président se serait d'ores et déjà représenté le recourant comme un délinquant sexuel; il aurait par ailleurs recueilli des informations sur la vie intime du recourant et ne pourrait en faire abstraction dans la deuxième procédure qui a pour objet une accusation de viols et de contrainte sexuelle.</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148 IV 137 consid. 2.2; 136 III 605 consid. 3.2.1).</w:t>
      </w:r>
    </w:p>
    <w:p>
      <w:r>
        <w:rPr>
          <w:b/>
        </w:rPr>
        <w:t>E. 2.2</w:t>
      </w:r>
    </w:p>
    <w:p>
      <w:r>
        <w:t>La première procédure se rapportait à des infractions contre l'honneur commises au préjudice du recourant. Le jugement du 1er novembre 2022 retient ainsi que le journaliste avait présenté le recourant comme entretenant notamment des relations sexuelles avec des élèves mineures, affirmant que le rapport officiel confirmait ces accusations. Le jugement retient que les éléments constitutifs objectifs des infractions de calomnie et de diffamation étaient réunies. L'examen des faits qui s'ensuit a uniquement pour cadre l'examen de la bonne foi du journaliste, en recherchant notamment si celui-ci pouvait effectivement fonder ses dires sur le rapport officiel. Dans ce cadre, le magistrat n'a donc pas lui même cherché à vérifier sur le fond si les reproches formulés contre le recourant étaient vrais ou non, et n'avait pas à se forger une opinion à ce propos.</w:t>
      </w:r>
    </w:p>
    <w:p>
      <w:r>
        <w:t>L'objet de la procédure précédente et les questions traitées dans ce cadre apparaissent ainsi totalement différents de l'accusation pour laquelle le recourant est renvoyé en jugement, qui porte sur un viol multiple et une contrainte sexuelle à l'encontre d'une femme majeure. Quant aux griefs soulevés en réplique à propos des commentaires des parties plaignantes et des informations parues dans la presse, ils ne sauraient être opposés au magistrat. Il n'existe dès lors aucune apparence de prévention à son égard.</w:t>
      </w:r>
    </w:p>
    <w:p>
      <w:r>
        <w:rPr>
          <w:b/>
        </w:rPr>
        <w:t>E. 3</w:t>
      </w:r>
    </w:p>
    <w:p>
      <w:r>
        <w:t>Sur le vu de ce qui précède, le recours doit être rejeté. Il n'est pas alloué de dépens (cf. art. 68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