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1B_44/2020 vom 7. Februar 2020</w:t>
      </w:r>
    </w:p>
    <w:p>
      <w:r>
        <w:t>Bundesgericht, 2020-02-07, FR</w:t>
      </w:r>
    </w:p>
    <w:p>
      <w:r>
        <w:rPr>
          <w:b/>
        </w:rPr>
        <w:t xml:space="preserve">Quelle: </w:t>
      </w:r>
      <w:r>
        <w:t>https://mcp.opencaselaw.ch/entscheid/bger_1B_44_2020</w:t>
      </w:r>
    </w:p>
    <w:p>
      <w:r>
        <w:t>FR: TF 1B_44/2020 du 7 février 2020</w:t>
      </w:r>
    </w:p>
    <w:p>
      <w:r>
        <w:t>IT: TF 1B_44/2020 del 7 febbraio 2020</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En tout état de cause, la détention avant jugement ne doit pas durer plus longtemps que la peine privative de liberté prévisible ( art. 212 al. 3 CPP ).</w:t>
      </w:r>
    </w:p>
    <w:p>
      <w:r>
        <w:rPr>
          <w:b/>
        </w:rPr>
        <w:t>E. 3.1</w:t>
      </w:r>
    </w:p>
    <w:p>
      <w:r>
        <w:t>Le recourant ne nie pas l'existence de charges suffisantes à son encontre. En revanche, il reproche à la cour cantonale d'avoir retenu l'existence d'un risque de collusion, dont il nie le caractère concret.</w:t>
      </w:r>
    </w:p>
    <w:p>
      <w:r>
        <w:rPr>
          <w:b/>
        </w:rPr>
        <w:t>E. 3.2</w:t>
      </w:r>
    </w:p>
    <w:p>
      <w:r>
        <w:t>Conformément à l' art. 221 al. 1 let. b CPP ,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w:t>
      </w:r>
    </w:p>
    <w:p>
      <w:r>
        <w:t>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 ATF 137 IV 122 consid. 4.2 p. 127 s.; 132 I 21 consid. 3.2 p. 23 s. et les références citées; cf. également arrêt 1B_560/2019 du 5 décembre 2019 consid. 2.1).</w:t>
      </w:r>
    </w:p>
    <w:p>
      <w:r>
        <w:t>Plus l'instruction se trouve à un stade avancé et les faits sont établis avec précision, plus les exigences relatives à la preuve de l'existence d'un risque de collusion sont élevées ( ATF 137 IV 122 consid. 4.2 p. 128; 132 I 21 consid. 3.2.2 p. 24; plus récemment arrêt 1B_560/2019 du 5 décembre 2019 consid. 2.1).</w:t>
      </w:r>
    </w:p>
    <w:p>
      <w:r>
        <w:rPr>
          <w:b/>
        </w:rPr>
        <w:t>E. 3.3</w:t>
      </w:r>
    </w:p>
    <w:p>
      <w:r>
        <w:t>Le recourant reproche à la cour cantonale de s'être référée à D.________ et B.G.________, deux des principaux protagonistes mis en détention préventive, pour retenir le risque de collusion. Il soutient qu'au vu de leur détention, il paraîtrait difficile d'admettre qu'il soit en mesure de les contacter. Cette argumentation n'est pas pertinente. En effet, il résulte de l'arrêt attaqué, qui reprend l'ordonnance du 24 novembre 2019 du Tribunal des mesures de contrainte, que diverses nouvelles mesures d'instruction sont en cours afin d'établir l'entier de l'activité délictueuse du recourant - qui n'a été appréhendé que récemment (le 22 novembre 2019) - et d'identifier ses comparses. Il existe dès lors un risque de collusion, non pas seulement avec D.________ et B.G.________, lequel met en cause le recourant, mais également avec d'autres personnes susceptibles d'avoir participé à l'attaque du fourgon. De plus, selon la cour cantonale, le recourant semble être proche de D.________, détenu en France, lequel doit encore être entendu au sujet du rôle du recourant joué dans l'attaque. Dès lors, à ce stade de l'enquête, et compte tenu de la gravité des faits reprochés au recourant - lesquels suggèrent l'existence d'une bande criminelle organisée - il apparaît opportun de se montrer particulièrement prudent afin de préserver autant que possible les prochaines déclarations du convoyeur D.________, de même que les témoignages des personnes ayant participé au braquage qui n'ont pas encore pu être identifiées, de toute ingérence, même indirecte, du recourant. Dans ces circonstances, la cour cantonale pouvait admettre sans violation du droit l'existence d'un risque sérieux et concret de collusion.</w:t>
      </w:r>
    </w:p>
    <w:p>
      <w:r>
        <w:t>Le maintien de la détention du recourant jusqu'au 22 février 2020 étant justifié par un risque de collusion, il n'y a pas lieu d'examiner si cette mesure s'imposait aussi en raison d'un risque de fuite ou de récidive au sens de l'art. 221 al. 1 let. a et c CPP.</w:t>
      </w:r>
    </w:p>
    <w:p>
      <w:r>
        <w:rPr>
          <w:b/>
        </w:rPr>
        <w:t>E. 4.1</w:t>
      </w:r>
    </w:p>
    <w:p>
      <w:r>
        <w:t>Le recourant fait encore valoir une violation de l' art. 237 al. 1 et 2 CPP et de son droit d'être entendu, en ce sens que l'arrêt attaqué ne se prononcerait que sur l'une des mesures de substitution proposées.</w:t>
      </w:r>
    </w:p>
    <w:p>
      <w:r>
        <w:rPr>
          <w:b/>
        </w:rPr>
        <w:t>E. 4.2</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saisie des documents d'identité (let. b), l'assignation à résidence (let. c), et l'interdiction d'entretenir des relations avec certaines personnes (let. g).</w:t>
      </w:r>
    </w:p>
    <w:p>
      <w:r>
        <w:t>Tel qu'il est garanti par l' art. 29 al. 2 Cst. , le droit d'être entendu comprend notamment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 ATF 143 III 65 consid. 5.2 p. 70; 141 IV 244 consid. 1.2.1 p. 246). La motivation peut être implicite et résulter des différents considérants de la décision ( ATF 141 V 557 consid. 3.2.1 p. 565; arrêt 1B_335/2019 du 16 janvier 2020 consid. 3.1.1). L'autorité ne doit toutefois pas se prononcer sur tous les moyens des parties; elle peut se limiter aux questions décisives ( ATF 143 III 65 consid. 5.2 p. 70; 142 II 154 consid. 4.2 p. 157).</w:t>
      </w:r>
    </w:p>
    <w:p>
      <w:r>
        <w:rPr>
          <w:b/>
        </w:rPr>
        <w:t>E. 4.3</w:t>
      </w:r>
    </w:p>
    <w:p>
      <w:r>
        <w:t>En tant que les critiques du recourant sont dirigées contre la décision de première instance, il n'en sera pas tenu compte. En effet, seuls les griefs à l'encontre de la motivation de la décision querellée sont recevables ( art. 80 al. 1 LTF ). Quoi qu'il en soit, les mesures de substitution proposées par le recourant durant la procédure cantonale - sous la forme d'une interdiction de prendre contact avec quiconque en lien avec l'affaire, d'un dépôt de ses papiers d'identité et d'une interdiction de se rendre en France voire de quitter le territoire suisse - sont insuffisantes au regard de la nature du risque de collusion constaté. Une éventuelle interdiction de contact paraît particulièrement difficile à contrôler dès lors que tous les comparses n'ont pas encore pu être identifiés et ne permet ainsi pas, en l'état, de pallier le risque d'atteinte à la recherche de la vérité. Le simple engagement de l'intéressé de n'évoquer l'affaire avec personne, ne permet pas de modifier cette appréciation. On ne voit au demeurant pas quelle autre mesure de substitution serait propre à éviter le risque de collusion retenu. Pour ces mêmes motifs, la motivation de la cour cantonale à ce propos est suffisante du point de vue des exigences du droit d'être entendu.</w:t>
      </w:r>
    </w:p>
    <w:p>
      <w:r>
        <w:t>Enfin, du point de vue temporel, au vu de la gravité des infractions (brigandage qualifié, art. 140 ch. 2 et 3 CP ) pour lesquelles le recourant a été mis en prévention et de la durée de la détention provisoire déjà subie, le principe de la proportionnalité demeure respecté.</w:t>
      </w:r>
    </w:p>
    <w:p>
      <w:r>
        <w:rPr>
          <w:b/>
        </w:rPr>
        <w:t>E. 5</w:t>
      </w:r>
    </w:p>
    <w:p>
      <w:r>
        <w:t>Le recours doit par conséquent être rejeté, dans la mesure où il est recevable.</w:t>
      </w:r>
    </w:p>
    <w:p>
      <w:r>
        <w:t>Les conditions posées à l' art. 64 al. 1 LTF étant réunies, il convient de mettre le recourant au bénéfice de l'assistance judiciaire, de lui désigner Me Pierre-Alain Killias comme avocat d'office et d'allouer à celui-ci une indemnité à titre d'honoraires, qui sera fixée forfaitairement et supportée par la caisse du Tribunal fédéral.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