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449/2021 vom 6. September 2021</w:t>
      </w:r>
    </w:p>
    <w:p>
      <w:r>
        <w:t>Bundesgericht, 2021-09-06, FR</w:t>
      </w:r>
    </w:p>
    <w:p>
      <w:r>
        <w:rPr>
          <w:b/>
        </w:rPr>
        <w:t xml:space="preserve">Quelle: </w:t>
      </w:r>
      <w:r>
        <w:t>https://mcp.opencaselaw.ch/entscheid/bger_1B_449_2021</w:t>
      </w:r>
    </w:p>
    <w:p>
      <w:r>
        <w:t>FR: TF 1B 449/2021 du 6 septembre 2021</w:t>
      </w:r>
    </w:p>
    <w:p>
      <w:r>
        <w:t>IT: TF 1B 449/2021 del 6 settembre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ne remet pas en cause l'existence de charges suffisantes à son encontre. Il reproche en revanche à l'autorité précédente d'avoir considéré qu'il existerait un risque de récidive au sens de l' art. 221 al. 1 let . c CPP, respectivement que celui-ci ne pourrait pas être réduit par les mesures de substitution proposées. En lien avec le risque de récidive, le recourant se plaint d'une constatation manifestement inexacte des faits survenus le 19 mars 2021, l'instance précédente les présentant systématiquement d'une manière plus grave qu'ils ne le seraient réellement. Le recourant lui fait également grief d'avoir retenu à tort qu'on lui reprocherait d'avoir entretenu une relation sexuelle avec une personne non identifiée qui ne semblait pas disposer de sa pleine capacité de discernement.</w:t>
      </w:r>
    </w:p>
    <w:p>
      <w:r>
        <w:rPr>
          <w:b/>
        </w:rPr>
        <w:t>E. 3.1.1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137 IV 84 consid. 3.2; arrêt 1B_413/2019 du 11 septembre 2019 consid. 3.1).</w:t>
      </w:r>
    </w:p>
    <w:p>
      <w:r>
        <w:rPr>
          <w:b/>
        </w:rPr>
        <w:t>E. 3.1.2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w:t>
      </w:r>
    </w:p>
    <w:p>
      <w:r>
        <w:rPr>
          <w:b/>
        </w:rPr>
        <w:t>E. 3.2</w:t>
      </w:r>
    </w:p>
    <w:p>
      <w:r>
        <w:t>Le recourant se plaint tout d'abord d'une constatation inexacte des faits, en lien avec le risque de récidive. Certes, l'arrêt entrepris expose, dans ses considérants en fait, qu'il est reproché au recourant d'avoir, dans un lieu et à une date indéterminée, entretenu une relation sexuelle avec une personnes non identifiée, laquelle ne semblait toutefois pas disposer de sa pleine capacité de discernement (cf. arrêt attaqué consid. Aa in fine). Comme indiqué par le recourant, il ressort de son audition du 8 juillet 2021 que l'inspecteur de police en charge de cette audition a informé le recourant que les " investigations concernant la suspicion d'un acte d'ordre sexuel sur une personne incapable de discernement ont confirmé vos déclarations du 18 juin 2021, soit que vous n'êtes pas la personne couchée sur l'image que nous vous avons présentée " (procès-verbal d'audition du 8 juillet 2021, demande 5). Le Ministère public n'a au demeurant pas fait état de cette charge dans ses déterminations du 20 juillet 2021. Le recourant ne cherche cependant pas à démontrer en quoi une modification de l'arrêt attaqué sur ce point serait susceptible d'influer le sort de la cause, comme l'exige l' art. 97 al. 1 LTF (cf. ci-dessus consid. 3.1.2). Cela étant, il ne ressort pas de l'arrêt entrepris que l'instance précédente a tenu compte de cet élément dans l'examen du risque de récidive (cf. arrêt attaqué consid. 3.3), contesté par le recourant. Aussi, une éventuelle modification de l'arrêt attaqué à cet égard ne serait pas susceptible d'influer sur le sort de la cause. Ensuite, en lien avec l'épisode du 19 mars 2021, le recourant affirme que la victime C.________ serait montée de son plein gré dans sa voiture et qu'il n'aurait pas verrouillé les portes, précisant que celles-ci se verrouilleraient automatiquement lorsque la voiture se met en marche. Si le recourant conteste avoir contraint la victime à monter dans la voiture et avoir verrouillé les portes de celle-ci, il ne nie pas avoir exercé des pressions sur la victime pour l'amener à rembourser une somme d'argent; il ne conteste en particulier pas avoir conduit la victime dans la forêt à W.________ et lui avoir demandé de se déshabiller, puis d'entrer dans le coffre de la voiture, avant que ce dernier ne prenne la fuite en courant. L'instance précédente pouvait dès lors considérer qu'il existait également des charges suffisantes en lien avec les infractions de menaces, contrainte, séquestration et enlèvement. L'affirmation du recourant selon laquelle il n'aurait pas usé de violence ou de menaces est en particulier contredite par les déclarations de la victime qui a affirmé, entre autres, que le prévenu avait tapé avec son poing contre le plafond de sa voiture et qu'il s'était senti en danger, raison pour laquelle il avait obéi et s'était déshabillé. La cour cantonale a admis l'existence d'un risque de récidive. Elle a souligné la gravité des faits reprochés au recourant, dès lors qu'il lui était notamment reproché d'être impliqué dans un enlèvement survenu le 19 mars 2021 lors duquel il aurait entre autres menacé sa victime, l'aurait forcée à se déshabiller intégralement et à monter dans le coffre de sa voiture. L'instance précédente a considéré que, malgré son jeune âge, le prévenu avait deux antécédents, dont une condamnation à une peine privative de liberté, et quatre enquêtes ouvertes contre lui. L'instance précédente a exposé que ces condamnations ne semblaient avoir eu aucun effet sur lui et les enquêtes pénales en cours, qui portaient sur un large spectre d'infractions, étaient des indices dont il y avait lieu de tenir compte, même si la présomption d'innocence s'appliquait à cet égard. De plus, la cour cantonale a relevé que le recourant avait l'impression d'avoir " agi de façon normale, en demandant des comptes " (procès-verbal d'audition du 25 mars 2021 R. 8, p. 10) et qu'il avait ajouté spontanément " suite à cette histoire, je suis dans de beaux draps. Je me retrouve avec des dettes incroyables et sans solution " (ibidem, R. 15 p. 13). Le prévenu était par ailleurs dans une situation financière difficile dès lors qu'il avait des dettes pour environ 100'000 fr. et aucune perspective de formation ou de projet professionnel, en l'état, dans la mesure où il était à la recherche d'une place d'apprentissage. Ainsi, selon la cour cantonale, compte tenu de ses antécédents, des enquêtes en cours, de son attitude, de son regard sur les faits qui lui étaient reprochés et de sa situation personnelle, le pronostic restait clairement défavorable. Ce raisonnement ne prête pas le flanc à la critique. Le recourant ne développe aucune argumentation propre à le remettre en cause. En effet, les faits qui lui sont reprochés, en particulier ceux survenus le 19 avril 2021, sont graves, puisqu'ils touchent notamment à la liberté d'action et de mouvement d'autrui, et ils peuvent être pris en considération. Le fait que de précédentes condamnations en 2016 et 2018 - pour des infractions variées (notamment vol, vol par métier, brigandage, dommages à la propriété, violation de domicile et de nombreuses infractions à la LCR) - n'ait pas dissuadé le recourant de persévérer dans des agissements délictueux, de surcroît durant le délai d'épreuve de 4 ans prononcé le 27 avril 2018 et alors même que plusieurs procédures pénales portant sur des infractions de nature diverses étaient menées à son encontre, rend le risque de récidive suffisamment concret. Le fait que sa condamnation la plus récente de 2018 concerne uniquement des infractions à la LCR ne suffit pas, quoi qu'en dise le recourant, à exclure le risque de récidive retenu. Sur ce point, il méconnaît que de telles infractions peuvent, suivant les circonstances, mettre en danger la sécurité d'autrui (cf. arrêt 1B_3/2019 du 17 janvier 2019 consid. 3.2). De plus, cela démontre que même des condamnations pénales avec sursis ne sont pas aptes à faire respecter l'ordre légal par le recourant. Par ailleurs, dans le cas d'espèce, les déclarations du recourant mises en évidence par la cour cantonale révèlent l'absence de prise de conscience du recourant et ne rassurent pas sur ses intentions futures. Compte tenu de ce qui précède, il y a lieu de craindre que le recourant n'adopte à nouveau un comportement répréhensible notamment pour améliorer sa situation financière. En définitive, les éléments susmentionnés sont suffisants pour retenir l'existence d'un risque concret de récidive au sens de l' art. 221 al. 1 let . c CPP. Le recourant relève par ailleurs en vain que le prévenu B.________ aurait été récemment libéré, estimant que rien ne justifierait de le traiter différemment. En effet, contrairement à ce que semble croire le recourant, le seul fait qu'un coprévenu ait été remis en liberté ne suffit pas à établir une éventuelle inégalité de traitement. S'agissant d'un grief d'ordre constitutionnel, il appartient au recourant de démontrer, conformément aux exigences accrues de motivation de l' art. 106 al. 2 LTF (cf. ATF 143 IV 500 consid. 1.1), en quoi la situation de cette personne ressemblerait à la sienne au point d'imposer un traitement identique, ce qu'il ne fait pas. Sur ce point, le recours est insuffisamment motivé.</w:t>
      </w:r>
    </w:p>
    <w:p>
      <w:r>
        <w:rPr>
          <w:b/>
        </w:rPr>
        <w:t>E. 3.3</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Les mesures de substitution proposées par le recourant, sous la forme d'une interdiction de contact avec C.________ ou avec toute autre personne que justice dira, d'une obligation de se présenter personnellement deux fois par jour auprès de la police à X.________ et d'une assignation à résidence avec, au besoin, le port d'un bracelet électronique, sont insuffisantes au regard de l'intensité du risque de récidive retenu. Une éventuelle interdiction de contact est particulièrement difficile à contrôler et ne permet pas, en l'état, de pallier le risque de récidive, dès lors notamment qu'il est reproché au recourant d'avoir commis des délits variés, en particulier contre le patrimoine, à l'encontre d'autres personnes. On ne voit en outre pas en l'espèce qu'un bracelet électronique puisse empêcher une récidive de manière efficace. Il en va de même pour l'obligation de se présenter régulièrement à un poste de police.</w:t>
      </w:r>
    </w:p>
    <w:p>
      <w:r>
        <w:rPr>
          <w:b/>
        </w:rPr>
        <w:t>E. 4</w:t>
      </w:r>
    </w:p>
    <w:p>
      <w:r>
        <w:t>Il s'ensuit que le recours doit être rejeté. Les conditions posées à l' art. 64 al. 1 LTF étant réunies, il convient de mettre le recourant au bénéfice de l'assistance judiciaire, de lui désigner Me Margaux Loretan comme avocate d'office et d'allouer à celle-ci une indemnité à titre d'honoraires, à payer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