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1B_449/2019 vom 26. November 2019</w:t>
      </w:r>
    </w:p>
    <w:p>
      <w:r>
        <w:t>Bundesgericht, 2019-11-26, FR</w:t>
      </w:r>
    </w:p>
    <w:p>
      <w:r>
        <w:rPr>
          <w:b/>
        </w:rPr>
        <w:t xml:space="preserve">Quelle: </w:t>
      </w:r>
      <w:r>
        <w:t>https://mcp.opencaselaw.ch/entscheid/bger_1B_449_2019</w:t>
      </w:r>
    </w:p>
    <w:p>
      <w:r>
        <w:t>FR: TF 1B_449/2019 du 26 novembre 2019</w:t>
      </w:r>
    </w:p>
    <w:p>
      <w:r>
        <w:t>IT: TF 1B_449/2019 del 26 novembre 2019</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a qualité pour recourir ( art. 81 al. 1 LTF ). Pour le surplus, le recours a été interjeté en temps utile ( art. 100 al. 1 LTF ) contre une décision rendue en dernière instance cantonale ( art. 80 al. 1 LTF ) et les conclusions prises sont recevables ( art. 107 LTF ). Il y a donc lieu d'entrer en matière.</w:t>
      </w:r>
    </w:p>
    <w:p>
      <w:r>
        <w:rPr>
          <w:b/>
        </w:rPr>
        <w:t>E. 2</w:t>
      </w:r>
    </w:p>
    <w:p>
      <w:r>
        <w:t>Conformément à l' art. 99 al. 1 LTF , aucun fait nouveau ni preuve nouvelle ne peut être présenté à moins de résulter de la décision attaquée. Les diverses pièces produites comme preuves par le recourant et qui ne figuraient pas au dossier doivent, à ce titre, être écartées.</w:t>
      </w:r>
    </w:p>
    <w:p>
      <w:r>
        <w:rPr>
          <w:b/>
        </w:rPr>
        <w:t>E. 3</w:t>
      </w:r>
    </w:p>
    <w:p>
      <w:r>
        <w:t>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en particulier en violation de l'interdiction constitutionnelle de l'arbitraire ( art. 97 al. 1 LTF ; ATF 137 I 58 consid. 4.1.2 p. 62), ce qu'il lui appartient de démontrer par une argumentation répondant aux exigences de l' art. 42 al. 2 LTF , respectivement de l' art. 106 al. 2 LTF .</w:t>
      </w:r>
    </w:p>
    <w:p>
      <w:r>
        <w:t>Dans les parties de son écriture intitulées "occultation arbitraire des faits fondant la récusation" et "faits nécessaires à la compréhension de la requête de récusation", le recourant expose de nombreux faits qui ne ressortent pas de l'ordonnance entreprise. Le recourant ne présente toutefois aucune démonstration du caractère arbitraire de l'état de fait de cette ordonnance; son argumentation ne répond ainsi pas aux exigences de motivation posées par l' art. 106 al. 2 LTF . De plus, de très nombreux faits ont trait à la procédure administrative de résiliation de ses rapports de service qui ne constitue pas l'objet de la présente procédure. Enfin, le recourant se méprend lorsqu'il affirme que l'instance précédente n'aurait pas mentionné l'objet même de la procédure pénale. En effet, l'instance précédente indique dans sa décision que l'acte d'accusation du 16 mai 2019 renvoie le recourant en jugement pour faux dans les titres, violation du secret de fonction et emploi illicite des signes publics. L'instance précédente n'expose certes pas en détail le contenu de l'acte d'accusation, tel le fait que le recourant est accusé d'avoir commis un faux dans les titres en utilisant le papier à lettre à en-tête de son employeur, l'Etat du Valais. Cela étant, cet élément n'était pas, pour les motifs exposés ci-dessous, de nature à influencer l'issue du litige (cf. consid. 4.2).</w:t>
      </w:r>
    </w:p>
    <w:p>
      <w:r>
        <w:rPr>
          <w:b/>
        </w:rPr>
        <w:t>E. 4</w:t>
      </w:r>
    </w:p>
    <w:p>
      <w:r>
        <w:t>Le recourant considère que la juge intimée, qui l'accuserait d'avoir falsifié le courrier du 9 août 2019 de son propre mandataire, n'aurait plus l'apparence nécessaire d'impartialité pour statuer dans la cause pénale le concernant.</w:t>
      </w:r>
    </w:p>
    <w:p>
      <w:r>
        <w:rPr>
          <w:b/>
        </w:rPr>
        <w:t>E. 4.1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w:t>
      </w:r>
    </w:p>
    <w:p>
      <w:r>
        <w:t>De manière générale, les déclarations d'un magistrat doivent être interprétées de manière objective, en tenant compte de leur contexte, de leurs modalités et du but apparemment recherché par leur auteur (arrêt 1B_186/2019 du 24 juin 2019 consid. 5.1 et l'arrêt cité).</w:t>
      </w:r>
    </w:p>
    <w:p>
      <w:r>
        <w:rPr>
          <w:b/>
        </w:rPr>
        <w:t>E. 4.2</w:t>
      </w:r>
    </w:p>
    <w:p>
      <w:r>
        <w:t>Dans l'arrêt entrepris, la Chambre pénale a relevé que la lettre du 9 août 2019 adressée au Tribunal des districts d'Hérens et Conthey ne manquait pas d'intriguer. Cette autorité a considéré que si cette lettre avait été imprimée avec le papier à en-tête de Me B.________, elle avait de toute évidence été rédigée non par ce défenseur privé, mais par l'intimé, vu la police, le style et les formules utilisées; elle avait, de surcroît, été expédiée en courrier recommandé depuis Lausanne et non depuis Sion, ville où Me B.________ a son étude, qui plus est dans une enveloppe différente de celle que l'avocat emploie habituellement. L'instance précédente a considéré que, dans ces conditions, la juge intimée était fondée à douter de l'authenticité de cette lettre; partant, elle pouvait faire implicitement part de ses interrogations à Me B.________, dans sa correspondance du 12 août 2019, en lui retournant le pli en question pour éventuelle dénonciation pénale et en lui annonçant que tout futur envoi du même ordre au Tribunal des districts d'Hérens et Conthey serait dénoncé au ministère public. Selon l'instance précédente, aucune apparence de prévention ne pouvait être retenue à l'encontre de la juge intimée, sur le vu de sa seule lettre à Me B.________ du 12 août 2019. A ses yeux, le fait qu'un juge doute de l'authenticité d'une écriture qu'il a reçue n'implique pas qu'il y a forcément lieu de redouter ensuite une activité partiale de sa part envers son auteur présumé.</w:t>
      </w:r>
    </w:p>
    <w:p>
      <w:r>
        <w:t>Le recourant critique cette appréciation, considérant qu'il y a lieu d'admettre sa demande de récusation. Il reproche à la juge intimée d'avoir imaginé qu'il avait commis un faux dans les titres au détriment de son propre mandataire et d'avoir énoncé cette grave accusation dans son courrier du 12 août 2019, sans même tenter au préalable de vérifier l'information auprès de son mandataire. Or, celui-ci confirme être l'auteur du courrier allégué et précise d'ailleurs être à même de rédiger un corpus de textes bien différents, relevant que la police d'écriture, le style sémantique et les formules syntaxiques n'étaient pas décisifs dans ce contexte; il ajoute que l'élément déterminant est que le document litigieux ait été signé de sa main, à savoir par un mandataire disposant d'une procuration. La juge intimée n'aurait plus l'apparence nécessaire d'impartialité pour statuer dans la cause pénale le concernant dans laquelle il est précisément accusé de faux dans les titres pour avoir prétendument utilisé sans droit le papier à lettre à en-tête de son employeur.</w:t>
      </w:r>
    </w:p>
    <w:p>
      <w:r>
        <w:rPr>
          <w:b/>
        </w:rPr>
        <w:t>E. 4.3</w:t>
      </w:r>
    </w:p>
    <w:p>
      <w:r>
        <w:t>L'argumentation du recourant n'est pas convaincante. En effet, à l'instar de la juge intimée et de la Chambre pénale, il y a lieu de constater que le courrier du 9 août 2019 pouvait susciter certaines interrogations, en raison des éléments suivants: il semblait avoir été confectionné au moyen d'une photocopie du papier à en-tête de Me B.________; l'enveloppe différait de celle utilisée habituellement par cet avocat; enfin, le courrier avait été expédié en recommandé depuis Lausanne et non pas depuis Sion où est située l'Etude de ce conseil. On ne saurait dès lors reprocher à la juge intimée d'avoir transmis le courrier litigieux à l'avocat concerné afin que celui-ci puisse en prendre connaissance et se déterminer à bon escient sur les doutes exprimés par la magistrate. Un simple appel téléphonique de cette dernière ne permettait pas à l'avocat de prendre connaissance du contenu et de l'aspect de cette missive. En présence de doutes fondés sur les éléments précités quant à l'authenticité de ce document, sa transmission au mandataire concerné s'imposait, quelle que soit la nature des infractions reprochées au recourant. On ne saurait pas non plus faire grief à cette magistrate, au vu des circonstances, d'avoir signalé au mandataire du recourant qu'un envoi ultérieur de la même facture serait dénoncé au ministère public. Si le mandataire affirmait être l'auteur de la missive du 9 août 2019, le second paragraphe de celle du 12 août 2019 devenait sans objet.</w:t>
      </w:r>
    </w:p>
    <w:p>
      <w:r>
        <w:t>Quoi qu'en pense le recourant, le courrier du 12 août 2019 ne suffit ainsi pas, à lui seul, pour retenir un soupçon objectif de prévention de la part de la juge intimée à son encontre. Il ne permet pas d'admettre que l'issue de la procédure au fond n'apparaîtrait plus comme ouverte. Le fait que cette magistrate n'ait pas présenté des excuses pour avoir émis des doutes concernant le courrier du 9 août 2019 ne constitue pas non plus un motif de récusation.</w:t>
      </w:r>
    </w:p>
    <w:p>
      <w:r>
        <w:rPr>
          <w:b/>
        </w:rPr>
        <w:t>E. 4.4</w:t>
      </w:r>
    </w:p>
    <w:p>
      <w:r>
        <w:t>Partant, la Chambre pénale n'a pas violé le droit fédéral en rejetant la requête de récusation formée par le recourant, faute de motifs de récusation.</w:t>
      </w:r>
    </w:p>
    <w:p>
      <w:r>
        <w:rPr>
          <w:b/>
        </w:rPr>
        <w:t>E. 5</w:t>
      </w:r>
    </w:p>
    <w:p>
      <w:r>
        <w:t>Il s'ensuit que le recours est rejeté, dans la mesure de sa recevabilité. Le recourant, qui succombe, supporte les frais de la procédure fédérale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