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1B_448/2012 vom 17. Oktober 2012</w:t>
      </w:r>
    </w:p>
    <w:p>
      <w:r>
        <w:t>Bundesgericht, 2012-10-17, DE</w:t>
      </w:r>
    </w:p>
    <w:p>
      <w:r>
        <w:rPr>
          <w:b/>
        </w:rPr>
        <w:t xml:space="preserve">Quelle: </w:t>
      </w:r>
      <w:r>
        <w:t>https://mcp.opencaselaw.ch/entscheid/bger_1B_448_2012</w:t>
      </w:r>
    </w:p>
    <w:p>
      <w:r>
        <w:t>FR: TF 1B_448/2012 du 17 octobre 2012</w:t>
      </w:r>
    </w:p>
    <w:p>
      <w:r>
        <w:t>IT: TF 1B_448/2012 del 17 ottobre 2012</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Art. 80 BGG ). Er schliesst das Strafverfahren gegen die Beschwerdeführerin nicht ab; es handelt sich mithin um einen Zwischenentscheid, gegen den die Beschwerde u.a. dann zulässig ist, wenn er einen nicht wieder gutzumachenden Nachteil bewirken könnte ( Art. 93 Abs. 1 lit. a BGG ). Das ist bei der Verweigerung der amtlichen Verteidigung der Fall ( BGE 133 IV 335 E. 4 mit Hinweisen; Urteil 1B_436/2011 vom 21. September 2011 E. 1). Die Beschwerdeführerin, die im Strafverfahren beschuldigt wird und deren Gesuch um amtliche Verteidigung abgewiesen wurde, ist zur Beschwerde befugt ( Art. 81 Abs. 1 BGG ). Sie liess die Beschwerde zwar durch einen im bundesgerichtlichen Verfahren nach Art. 40 Abs. 1 BGG nicht zugelassenen Vertreter einreichen. Das schadet ihr aber nicht, da der Mangel innert der ihr vom Bundesgericht nach Art. 42 Abs. 5 BGG angesetzten Frist behoben wurde. Die übrigen Sachurteilsvoraussetzungen geben zu keinen Bemerkungen Anlass. Auf die Beschwerde ist einzutreten.</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w:t>
      </w:r>
    </w:p>
    <w:p>
      <w:r>
        <w:rPr>
          <w:b/>
        </w:rPr>
        <w:t>E. 2.2</w:t>
      </w:r>
    </w:p>
    <w:p>
      <w:r>
        <w:t>Zu Recht unbestritten geblieben ist die Auffassung des Obergerichts, es liege weder ein Fall notwendiger Verteidigung noch ein Bagatellfall vor. Wiegen somit die strafrechtlichen Vorwürfe gegen die Beschwerdeführerin in diesem Sinn mittelschwer, ist eine amtliche Verteidigung dann anzuordnen, wenn sie nicht über die zur Finanzierung eines Wahlverteidigers erforderlichen Mittel verfügt und die Verteidigung zur Wahrung ihrer Interessen geboten ist ( Art. 132 Abs. 1 lit. b StPO ). Letzteres ist namentlich dann der Fall, wenn der Straffall in tatsächlicher oder rechtlicher Hinsicht Schwierigkeiten bietet, der sie allein nicht gewachsen wäre. Diese Regelung entspricht weitgehend derjenigen, die das Bundesgericht unter der altrechtlichen Herrschaft der kantonale Strafprozessordnungen zu Art. 29 Abs. 3 BV und Art. 6 Ziff. 3 lit. c EMRK entwickelt hat (Urteil 1B_477/2011 vom 4. Januar 2012 E. 2.2; Zusammenfassung der Praxis in BGE 128 I 225 E. 2.5.2 mit Hinweisen).</w:t>
      </w:r>
    </w:p>
    <w:p>
      <w:r>
        <w:rPr>
          <w:b/>
        </w:rPr>
        <w:t>E. 2.3</w:t>
      </w:r>
    </w:p>
    <w:p>
      <w:r>
        <w:t>Der Sachverhalt, welcher der Beschwerdeführerin zur Last gelegt wird, ist relativ einfach: Sie soll als Angestellte des Bordells "A.________" die von ihr geführten Listen über die von den Prostituierten gemieteten Zimmer manipuliert haben, ihrer Arbeitgeberin auf diese Weise einen Teil der Einnahmen verheimlicht und diesen für sich abgezweigt haben. Dem Obergericht ist insoweit zuzustimmen, dass diese Vorwürfe in tatsächlicher Hinsicht für die Beschwerdeführerin verständlich sind und sie sich dagegen selber ausreichend zur Wehr setzen könnte. Nicht gefolgt werden kann indessen seiner Auffassung, der Fall biete in rechtlicher Hinsicht keine Schwierigkeiten, denen die Beschwerdeführerin, auf sich allein gestellt, nicht gewachsen wäre. In Bezug auf die Urkundenfälschung im Sinn von Art. 251 StGB wird u.a. zu beurteilen sein, ob es sich bei den von ihr geführten und mutmasslich manipulierten Listen mit den Mieteinnahmen um Urkunden im Sinn von Art. 251 bzw. Art. 110 Abs. 4 StGB handelt oder nicht. Urkundendelikte sind in rechtlicher Hinsicht nicht leicht zu erfassen. Ihr Verständnis setzt gewisse spezifische Fachkenntnisse voraus (vgl. BGE 138 IV 130 E. 1 mit Hinweisen). Es ist nicht nachvollziehbar, wie die Beschwerdeführerin, die eine zweijährige Verkaufslehre absolviert hat und, soweit bekannt, über kein juristisches Fachwissen verfügt, zur für den Ausgang des Verfahrens entscheidenden Frage der Urkundenqualität dieser Listen kompetent Stellung nehmen könnte. Damit erscheint der Beizug eines Verteidigers bzw. einer Verteidigerin zur Wahrung ihrer Interessen im Strafverfahren geboten. Die Beschwerdeführerin hat daher Anspruch auf amtliche Verteidigung, sofern sie nicht über genügend Mittel verfügt, ihre Verteidigung selber zu finanzieren ( Art. 132 Abs. 1 lit. b StPO ). Letzteres haben sowohl die Oberstaatsanwaltschaft als auch das Obergericht offen gelassen. Es ist nicht Aufgabe des Bundesgerichts, dies als erste Instanz abzuklären. Die Sache ist daher an die Oberstaatsanwaltschaft zurückzuweisen, welche das Gesuch der Beschwerdeführerin um amtliche Verteidigung unter Berücksichtigung der bundesgerichtlichen Erwägungen neu zu prüfen haben wird.</w:t>
      </w:r>
    </w:p>
    <w:p>
      <w:r>
        <w:rPr>
          <w:b/>
        </w:rPr>
        <w:t>E. 3</w:t>
      </w:r>
    </w:p>
    <w:p>
      <w:r>
        <w:t>Die Beschwerde ist somit gutzuheissen, der angefochtene Entscheid des Obergerichts aufzuheben und die Sache an die Oberstaatsanwaltschaft zu neuem Entscheid zurückzuweisen. Bei diesem Ausgang des Verfahrens sind keine Kosten zu erheben ( Art. 66 Abs. 4 BGG ). Damit wird das Gesuch um unentgeltliche Rechtspflege gegenstandslos. Einen Anspruch auf eine Parteientschädigung hat die Beschwerdeführerin nicht, da sie vor Bundesgericht nicht anwaltlich vertreten war; das entsprechende Gesuch ist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