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445/2021 vom 20. August 2021</w:t>
      </w:r>
    </w:p>
    <w:p>
      <w:r>
        <w:t>Bundesgericht, 2021-08-20, FR</w:t>
      </w:r>
    </w:p>
    <w:p>
      <w:r>
        <w:rPr>
          <w:b/>
        </w:rPr>
        <w:t xml:space="preserve">Quelle: </w:t>
      </w:r>
      <w:r>
        <w:t>https://mcp.opencaselaw.ch/entscheid/bger_1B_445_2021</w:t>
      </w:r>
    </w:p>
    <w:p>
      <w:r>
        <w:t>FR: TF 1B 445/2021 du 20 août 2021</w:t>
      </w:r>
    </w:p>
    <w:p>
      <w:r>
        <w:t>IT: TF 1B 445/2021 del 20 agosto 2021</w:t>
      </w:r>
    </w:p>
    <w:p>
      <w:pPr>
        <w:pStyle w:val="Heading2"/>
      </w:pPr>
      <w:r>
        <w:t>Regeste</w:t>
      </w:r>
    </w:p>
    <w:p>
      <w:r>
        <w:t>Procédure pénale; retranchement de pièces du dossier | Procédure pénale</w:t>
      </w:r>
    </w:p>
    <w:p>
      <w:pPr>
        <w:pStyle w:val="Heading2"/>
      </w:pPr>
      <w:r>
        <w:t>Erwägungen</w:t>
      </w:r>
    </w:p>
    <w:p>
      <w:r>
        <w:rPr>
          <w:b/>
        </w:rPr>
        <w:t>E. 1</w:t>
      </w:r>
    </w:p>
    <w:p>
      <w:r>
        <w:t>Le Ministère public de l'arrondissement de La Côte instruit une procédure pénale contre A.________ pour violation grave des règles de la circulation routière. Il lui est reproché d'avoir, le 20 octobre à 14h50, dépassé la vitesse maximale autorisée de 36 km/h alors qu'il circulait au volant de son tricycle à moteur immatriculé YYY sur la route principale reliant Nyon à La Cure. Par ordonnance du 30 avril 2021, le Ministère public a constaté que les prises de mesures et de vues effectuées le 20 octobre 2020 sur le véhicule immatriculé YYY par le système radar installé sur la parcelle n° 44 de la commune de Trélex ainsi que les pièces annexées à celles-ci étaient licites et exploitables et a refusé de les retirer du dossier et de les détruire. La Chambre des recours pénale du Tribunal cantonal du canton de Vaud a confirmé cette ordonnance au terme d'un arrêt rendu le 25 mai 2021 sur recours du prévenu que celui-ci a déféré auprès du Tribunal fédéral le 18 août 2021. Il n'a pas été ordonné d'échange d'écritures.</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En ce domaine, le préjudice irréparable se rapporte à un dommage de nature juridique qui ne puisse pas être réparé ultérieurement par un jugement final ou une autre décision favorable au recourant ( ATF 144 IV 127 consid. 1.3.1).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143 IV 387 consid. 4.4).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w:t>
      </w:r>
    </w:p>
    <w:p>
      <w:r>
        <w:rPr>
          <w:b/>
        </w:rPr>
        <w:t>E. 2.2</w:t>
      </w:r>
    </w:p>
    <w:p>
      <w:r>
        <w:t>Le recourant ne s'exprime pas sur cette question comme il lui incombait de le faire. Il ne se prévaut en particulier pas de l'une ou l'autre des dispositions légales qui imposeraient la restitution ou la destruction immédiate des preuves illicites. On ne saurait dire que le caractère illicite des prises de mesures de la vitesse et de vues litigieuses s'imposerait d'emblée, respectivement que la motivation fondée sur l' art. 14 CP retenue par la Chambre des recours pour conclure à la licéité et à l'exploitabilité des moyens de preuve serait insoutenable. Vu la nature de l'infraction reprochée au recourant, il n'apparaît pas qu'il puisse faire valoir un intérêt juridiquement protégé particulièrement important à ce que le Tribunal fédéral se prononce sans délai sur ces différents points. A tout le moins, cette question méritait d'être développée par le recourant dans une argumentation circonstanciée qui fait défaut en l'occurrence. Partant, l'inexploitabilité des moyens de preuve en cause n'est, en l'état, pas manifeste et l'existence d'un risque de préjudice irréparable pour le recourant au sens de l' art. 93 al. 1 let. a LTF dans l'hypothèse où ils étaient maintenus au dossier jusqu'à une éventuelle mise en accusation n'est pas démontrée. Il s'ensuit que l'arrêt attaqué ne saurait être contesté immédiatement auprès du Tribunal fédéral.</w:t>
      </w:r>
    </w:p>
    <w:p>
      <w:r>
        <w:rPr>
          <w:b/>
        </w:rPr>
        <w:t>E. 3</w:t>
      </w:r>
    </w:p>
    <w:p>
      <w:r>
        <w:t>Le recours doit par conséquent être déclaré irrecevable selon la procédure simplifiée prévue par l' art. 108 al. 1 let. a LTF , aux frais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