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1B_443/2018 vom 28. Januar 2019</w:t>
      </w:r>
    </w:p>
    <w:p>
      <w:r>
        <w:t>Bundesgericht, 2019-01-28, FR</w:t>
      </w:r>
    </w:p>
    <w:p>
      <w:r>
        <w:rPr>
          <w:b/>
        </w:rPr>
        <w:t xml:space="preserve">Quelle: </w:t>
      </w:r>
      <w:r>
        <w:t>https://mcp.opencaselaw.ch/entscheid/bger_1B_443_2018</w:t>
      </w:r>
    </w:p>
    <w:p>
      <w:r>
        <w:t>FR: TF 1B_443/2018 du 28 janvier 2019</w:t>
      </w:r>
    </w:p>
    <w:p>
      <w:r>
        <w:t>IT: TF 1B_443/2018 del 28 gennaio 2019</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1.2</w:t>
      </w:r>
    </w:p>
    <w:p>
      <w:r>
        <w:t>Ne mettant pas un terme à la procédure pénale, la décision attaquée est de nature incidente et le recours n'est donc recevable qu'en présence d'un risque de préjudice irréparable au sens de l' art. 93 al. 1 let. a LTF .</w:t>
      </w:r>
    </w:p>
    <w:p>
      <w:r>
        <w:t>Tel est notamment le cas lorsque la levée des scellés pourrait porter atteinte à des secrets protégés, dont le secret professionnel de l'avocat ( ATF 143 IV 462 consid. 1 p. 465). Dès lors que la décision relative à une demande de levée des scellés statue définitivement sur la problématique des secrets invoqués ( art. 248 al. 1 CPP ), les questions de preuves déterminantes, tels l'existence de soupçons suffisants ( art. 197 al. 1 let. b CPP ) ou les autres empêchements légaux à la levée des scellés ( art. 197 al. 1 et 2 et 264 CPP ), doivent déjà faire l'objet d'un examen sur le fond. Lorsque de tels éléments sont remis en cause, un préjudice irréparable doit être reconnu.</w:t>
      </w:r>
    </w:p>
    <w:p>
      <w:r>
        <w:t>Il appartient en revanche au juge du fond de rendre une décision quant à l'appréciation de la preuve en cause - eu égard notamment aux questions en lien avec les faits et la culpabilité -, ainsi que sur l'exploitabilité de celle-ci. L'interdiction d'utilisation des éléments de preuves prétendument obtenus de manière contraire aux art. 140 et 141 CPP - qui impose, le cas échéant, la restitution ou le retrait du dossier des moyens de preuve concernés - n'entre en considération, au cours de la procédure préliminaire de levée des scellés ( art. 248 al. 3 let. a CPP ), que si l'illicéité est manifeste ( ATF 143 IV 387 consid. 4.4 p. 394 s.).</w:t>
      </w:r>
    </w:p>
    <w:p>
      <w:r>
        <w:t>Si, en présence d'un moyen de preuve illicite, il y a lieu de procéder à la mise en balances des intérêts au sens de l' art. 141 al. 2 CPP , cette mesure est généralement mise en oeuvre par le juge du fond, sous réserve des cas où l'inexploitabilité s'impose d'emblée déjà au stade de l'instruction ( ATF 143 IV 387 consid. 4.4 p. 395).</w:t>
      </w:r>
    </w:p>
    <w:p>
      <w:r>
        <w:rPr>
          <w:b/>
        </w:rPr>
        <w:t>E. 1.2.1</w:t>
      </w:r>
    </w:p>
    <w:p>
      <w:r>
        <w:t>En l'occurrence, un préjudice irréparable ne résulte pas d'une éventuelle atteinte à des secrets protégés, vu l'absence de contestation au fond par les recourants de l'appréciation effectuée par le Tmc des pièces bénéficiant du secret professionnel de l'avocat, respectivement d'une remise en cause des motifs ayant permis la levée des scellés (existence de soupçons suffisants et utilité potentielle du contenu du serveur).</w:t>
      </w:r>
    </w:p>
    <w:p>
      <w:r>
        <w:t>A titre de préjudice irréparable, les recourants se prévalent en substance de l'obtention du serveur en cause en violation de l' art. 140 CPP ; le serveur serait dès lors inexploitable en application de l' art. 141 al. 1 CPP . Ils soutiennent encore que vu les violations de l' art. 265 CPP , du droit pénal américain et suisse et des règles sur l'entraide judiciaire en matière pénale, le serveur serait également inexploitable eu égard à l' art. 141 al. 2 CPP .</w:t>
      </w:r>
    </w:p>
    <w:p>
      <w:r>
        <w:rPr>
          <w:b/>
        </w:rPr>
        <w:t>E. 1.2.2</w:t>
      </w:r>
    </w:p>
    <w:p>
      <w:r>
        <w:t>En lien tout d'abord avec les art. 140 et 141 al. 1 CPP , les recourants soutiennent que le Ministère public aurait promis au prévenu T.________ - alors détenu - sa mise en liberté s'il acceptait de faire envoyer le serveur aux autorités genevoises; cette conclusion s'imposerait au regard des déclarations effectuées le 28 juin 2018 par le mari du prévenu; celui-ci y a affirmé s'être trouvé dans une situation désespérée et n'avoir d'autre choix pour obtenir la libération de son époux que d'envoyer ledit objet (cf. l'affidavit y relatif).</w:t>
      </w:r>
    </w:p>
    <w:p>
      <w:r>
        <w:t>Certes, vu la chronologie des événements (information sur l'existence du serveur et demande d'envoi de celui-ci le 9 mars 2018, réception de cet objet le 12 mars 2018 et décision de libération le 15 mars 2018), ainsi que la motivation retenue par le Tmc - autorité statuant alors en tant que juge de la détention -, tout lien entre l'envoi du serveur et ce prononcé ne peut être exclu (cf. la réduction du risque de collusion qui a priori en découle). On ne saurait cependant retenir, en l'état, que des pressions ou des promesses contraires à l' art. 140 CPP auraient été effectuées par le Ministère public afin d'obtenir le serveur. Ainsi, il s'est adressé, non pas directement au prévenu ou au mari de celui-ci, mais à l'avocate du premier et c'est celle-ci qui s'est chargée - dans des termes inconnus - de présenter la requête du Ministère public au premier, ainsi qu'au second. Lors de l'audience du 13 mars 2018, le prévenu a de plus expressément déclaré qu'il n'avait pas donné son accord à cet envoi en espérant être libéré, n'attendant rien en retour (cf. le procès-verbal de cette séance p. 4). Au regard de ces circonstances et sans autre indication, l'éventuel désespoir de son époux - établi le 28 juin 2018, soit trois mois après les faits - face à la situation dans laquelle le prévenu se trouvait ne permet pas de retenir que l'envoi du serveur aurait manifestement été obtenu de manière contraire à l' art. 140 CPP . Une telle conclusion ne s'impose pas non plus à la lecture des propos de T.________ contenus dans l'affidavit du 28 juin 2018; ce dernier - alors libéré - n'y formule ainsi aucun grief clair contre le Ministère public genevois en lien avec une promesse de libération en échange du serveur litigieux et relève que c'est son conseil et son mari qui ont compris la requête du magistrat dans ce sens ("Upon being released, I learned from Mr. A.A.________ and Ms. A.B.________ that they both understood that I would be released from incarceration if the Server was delivered to the Geneva Public Prosecutor's Office"). En tout état de cause, on ignore dans quel (s) but (s) ont été effectuées ces déclarations (affidavit), n'étant pas exclu que ce soit afin d'expliquer le non-respect par T.________ et son mari des différentes décisions américaines rendues afin d'empêcher l'envoi du serveur en Suisse. Aucun élément ne permet donc à ce stade de considérer que le prévenu, conseillé par une mandataire professionnelle, et/ou son mari auraient manifestement subi des pressions inadmissibles de la part du Ministère public genevois. On relève enfin que les recourants ne font état d'aucune plainte dans ce sens de la part des concernés, que ce soit contre la demande du magistrat pour obtenir le serveur, pour faire rectifier les propos transcrits dans le procès-verbal du 13 mars 2018 et/ou contre l'apport à la procédure pénale du serveur et de son contenu.</w:t>
      </w:r>
    </w:p>
    <w:p>
      <w:r>
        <w:t>Partant, l'inexploitabilité du moyen de preuve en cause au sens des art. 140 et 141 al. 1 CPP n'est en l'état pas manifeste et un risque de préjudice irréparable pour les recourants n'est ainsi pas démontré.</w:t>
      </w:r>
    </w:p>
    <w:p>
      <w:r>
        <w:rPr>
          <w:b/>
        </w:rPr>
        <w:t>E. 1.2.3</w:t>
      </w:r>
    </w:p>
    <w:p>
      <w:r>
        <w:t>Il n'en va pas différemment sous l'angle de l' art. 141 al. 2 CPP .</w:t>
      </w:r>
    </w:p>
    <w:p>
      <w:r>
        <w:t>En effet, dans la mesure où le serveur en cause aurait été obtenu de manière illicite - peu importe d'ailleurs le motif (absence de consentement du prétendu propriétaire du serveur pour son envoi, violations alléguées de l' art. 265 CPP [prévenu sans obligation de déposer], du droit pénal suisse et américain, ainsi que des règles en matière d'entraide pénale internationale) -, il n'est pas manifeste, dans le cadre de la procédure de levée des scellés, qu'il serait inexploitable. Cette constatation découle tout d'abord de la gravité des infractions examinées (cf. art. 322septies, 305biset 143 CP en lien avec l'art. 141 al. 2 in fine CPP), ce que ne contestent d'ailleurs pas les recourants. La quantité des documents figurant au dossier ne constitue pas non plus un argument permettant de faire pencher la pesée des intérêts en faveur des recourants. Les éléments s'y trouvant proviennent de plus d'une autre source - les sociétés du groupe H.________ - que ceux figurant sur les serveurs produits par la partie plaignante; en outre, le "serveur A.C.________" - en lien avec l'activité commerciale du groupe - paraît à même d'apporter des éclairages sur les étapes antérieures et postérieures liées aux appels d'offres litigieux. Ce raisonnement s'impose d'autant plus que les recourants n'exposent pas quel serait l'intérêt privé prépondérant qui s'y opposerait (cf. ad 116 s. p. 24 du mémoire), n'étant pas déterminant d'invoquer à cet égard le défaut d'exploitation désiré (cf. p. 12 de leurs observations complémentaires). Le caractère inexploitable du serveur obtenu peut-être illicitement n'étant pas d'emblée apparent, il appartiendra par conséquent au juge du fond d'examiner cette question ( ATF 143 IV 387 consid. 4.6. p. 396 s.). En l'état, faute de préjudice irréparable, l'entrée en matière ne se justifie par conséquent pas non plus sous cet angle.</w:t>
      </w:r>
    </w:p>
    <w:p>
      <w:r>
        <w:t>Ces éléments permettent également de considérer que la copie du serveur ne saurait être, à ce stade, écartée du dossier en application de l' art. 141 al. 4 CPP .</w:t>
      </w:r>
    </w:p>
    <w:p>
      <w:r>
        <w:rPr>
          <w:b/>
        </w:rPr>
        <w:t>E. 1.3</w:t>
      </w:r>
    </w:p>
    <w:p>
      <w:r>
        <w:t>Les recourants se prévalent encore de violations de leurs droits de partie ( ATF 141 IV 1 consid. 1.1 p. 5) et, dans cette mesure, leur recours - déposé en temps utile ( art. 100 al. 1 LTF ) - est recevable.</w:t>
      </w:r>
    </w:p>
    <w:p>
      <w:r>
        <w:rPr>
          <w:b/>
        </w:rPr>
        <w:t>E. 2</w:t>
      </w:r>
    </w:p>
    <w:p>
      <w:r>
        <w:t>Invoquant tout d'abord une violation de leur droit d'être entendus, les recourants se plaignent d'un défaut de motivation; l'autorité précédente ne se serait ainsi pas prononcée sur leurs griefs en lien avec la violation alléguée du droit pénal américain et du droit pénal suisse.</w:t>
      </w:r>
    </w:p>
    <w:p>
      <w:r>
        <w:t>Ce grief peut cependant être écarté. En effet, dans l'ordonnance attaquée, le Tmc n'a pas exclu l'hypothèse que le procédé ayant abouti à la réception du serveur puisse être considéré comme illicite "pour une raison ou une autre", soit implicitement notamment en cas de violation du droit pénal américain et suisse, respectivement au demeurant pour l'un ou l'autre des autres motifs invoqués par les recourants. Cela étant, l'autorité précédente a ensuite retenu que, même dans une telle situation, "la pesée des intérêts pencherait clairement en faveur de son exploitation au vu des soupçons existants et de la gravité des faits reprochés" (cf. ad 6 p. 7 de l'ordonnance entreprise). Les recourants n'ont d'ailleurs pas manqué de développer une argumentation aux fins de démontrer que la balance des intérêts effectuée serait erronée (cf. ad 113 ss p. 23 ss).</w:t>
      </w:r>
    </w:p>
    <w:p>
      <w:r>
        <w:rPr>
          <w:b/>
        </w:rPr>
        <w:t>E. 3</w:t>
      </w:r>
    </w:p>
    <w:p>
      <w:r>
        <w:t>Les recourants font enfin grief au Tmc d'avoir considéré que le Ministère public - pourtant déjà saisi de la demande de mise sous scellés - était encore en droit de donner mandat à la police de procéder à une copie de l'objet visé par la requête. Autrement dit, les recourants reprochent à l'autorité précédente d'avoir écarté le vice formel soulevé contre le Procureur en lien avec la mise en oeuvre de leur demande de mise sous scellés, ce qui constitue une violation de leurs droits de partie.</w:t>
      </w:r>
    </w:p>
    <w:p>
      <w:r>
        <w:rPr>
          <w:b/>
        </w:rPr>
        <w:t>E. 3.1</w:t>
      </w:r>
    </w:p>
    <w:p>
      <w:r>
        <w:t>Avec les recourants, il y a lieu de constater que cette manière de procéder, peu importe d'ailleurs le motif invoqué à cet égard (sauvegarde), contrevient aux garanties que la procédure de mise sous scellés doit assurer, soit la soustraction des pièces visées par la demande de mise sous scellés du dossier à disposition des autorités pénales, dont fait partie la police ( art. 12 let. a CPP ). Une telle constatation découle tant de la chronologie (réception préalable de la requête de mise sous scellés vu la référence qui y est faite dans le mandat) que de l'autorité désignée par le Procureur. S'agissant en particulier de cette problématique, il y a lieu de rappeler qu'il existe de facto, notamment lorsqu'une instruction formelle est en cours, des liens de subordination entre la police et le Ministère public (cf. art. 15 al. 2 2 ème phrase, 307 et 312 CPP, art. 2 al. 1 et 2 de la loi genevoise du 9 septembre 2014 sur la police [LPol; RS/GE F 1 05]; ATF 142 IV 372 consid. 3.2.1 p. 376). Sans remettre en cause l'intégrité du Procureur ou de l'inspecteur ayant procédé à la copie, les mesures de précaution émises par le premier (interdiction de prendre connaissance du contenu) ne permettent pas non plus d'emblée d'exclure toute consultation et/ou l'établissement de copie (s) supplémentaire (s); en particulier, il n'a pas été ordonné que la manipulation soit effectuée par exemple en présence des parties et/ou sous le contrôle du Tmc. Le Ministère public ne pouvait donc, une fois saisi de la demande de mise sous scellés déposée par les recourants, différer la mise en place formelle de cette mesure et confier à la police le serveur visé par leur requête, cela même pour un acte purement technique. On rappellera au demeurant que l'autorité judiciaire en matière de scellés ne peut pas non plus confier n'importe quelle mission aux autorités de police ( ATF 142 IV 372 consid. 3.1 p. 375).</w:t>
      </w:r>
    </w:p>
    <w:p>
      <w:r>
        <w:t>Partant, il y a lieu de constater que le mandat d'enquête donné par le Ministère public après la réception de la demande de mise sous scellés viole la procédure de mise en oeuvre de cette requête.</w:t>
      </w:r>
    </w:p>
    <w:p>
      <w:r>
        <w:rPr>
          <w:b/>
        </w:rPr>
        <w:t>E. 3.2</w:t>
      </w:r>
    </w:p>
    <w:p>
      <w:r>
        <w:t>La jurisprudence rendue préalablement à l'entrée en vigueur du Code de procédure pénale considérait qu'un vice ayant affecté la procédure proprement dite de mise sous scellés pouvait être réparé par l'admission de la demande de levée des scellés, notamment à la suite d'une pesée des intérêts en cause (arrêt 1B_241/2008 du 26 février 2009 consid. 5.2 [défaut d'apposition des scellés malgré la demande y relative]; THORMANN/BRECHTBÜHL, in Basler Kommentar, Schweizerische Strafprozessordnung, Art. 196-457 StPO, 2e éd. 2014, n° 15 ad art. 248 CPP ; voir également ATF 137 I 218 consid. 2.3.4 p. 223 relevant la similitude de la jurisprudence en lien avec l'exploitabilité des preuves illicites prévue avec l' art. 141 al. 2 CPP ). Les recourants ne font état d'aucun élément qui permettrait de s'écarter de cette solution; ils se limitent d'ailleurs à conclure à la constatation de la violation de leurs droits de procédure (cf. notamment ad 169 p. 32 de leur mémoire), sans demander formellement, en lien avec ce grief, la restitution du serveur; ils ne prétendent d'ailleurs pas non plus que la copie en cause aurait mis en danger le seul secret protégé dont ils se prévalent ( art. 42 al. 2 LTF ). La violation retenue ne constitue manifestement pas un motif de preuve illicite au sens de l' art. 140 CPP . Dans l'hypothèse la plus favorable aux recourants, c'est donc en application de l' art. 141 al. 2 CPP et de la balance des intérêts que cette disposition requiert que l'exploitation de la preuve obtenue illicitement doit être examinée. Il peut dès lors être renvoyé aux considérations émises précédemment pour retenir qu'en l'état, ce moyen de preuve n'est pas manifestement inexploitable (cf. consid. 1.2.3 ci-dessous).</w:t>
      </w:r>
    </w:p>
    <w:p>
      <w:r>
        <w:rPr>
          <w:b/>
        </w:rPr>
        <w:t>E. 4</w:t>
      </w:r>
    </w:p>
    <w:p>
      <w:r>
        <w:t>Il s'ensuit que le recours est partiellement admis dans la mesure où il est recevable. Il est constaté que le mandat d'enquête du 12 mars 2018 donné par le Ministère public après la réception de la demande de mise sous scellés viole la procédure de mise en oeuvre de cette requête. Pour le surplus, le recours est rejeté.</w:t>
      </w:r>
    </w:p>
    <w:p>
      <w:r>
        <w:t>Les recourants, qui procèdent par le biais d'un avocat commun, n'obtiennent gain de cause que partiellement (cf. consid. 3). Les frais judiciaires sont donc mis à leur charge ( art. 66 al. 1 LTF ); le montant de ceux-ci sera cependant réduit à fin de tenir compte de l'admission partielle du recours. Pour ce même motif, les recourants ont droit à une indemnité réduite de dépens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