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443/2011 vom 28. November 2011</w:t>
      </w:r>
    </w:p>
    <w:p>
      <w:r>
        <w:t>Bundesgericht, 2011-11-28, DE</w:t>
      </w:r>
    </w:p>
    <w:p>
      <w:r>
        <w:rPr>
          <w:b/>
        </w:rPr>
        <w:t xml:space="preserve">Quelle: </w:t>
      </w:r>
      <w:r>
        <w:t>https://mcp.opencaselaw.ch/entscheid/bger_1B_443_2011</w:t>
      </w:r>
    </w:p>
    <w:p>
      <w:r>
        <w:t>FR: TF 1B 443/2011 du 28 novembre 2011</w:t>
      </w:r>
    </w:p>
    <w:p>
      <w:r>
        <w:t>IT: TF 1B 443/2011 del 28 novembre 2011</w:t>
      </w:r>
    </w:p>
    <w:p>
      <w:pPr>
        <w:pStyle w:val="Heading2"/>
      </w:pPr>
      <w:r>
        <w:t>Regeste</w:t>
      </w:r>
    </w:p>
    <w:p>
      <w:r>
        <w:t>Strafverfahren; Nichtanhandnahme | Strafprozess</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90 BGG ). Dem Beschwerdeführer wurde im kantonalen Strafverfahren Parteistellung zuerkannt ( Art. 80 Abs. 1 BGG ). Er ist damit zur Beschwerde ans Bundesgericht befugt, da sich der angefochtene Entscheid auf die Beurteilung allfälliger Zivilansprüche auswirken kann (Art. 81 Abs. 1 lit. b Ziff. 5 BGG).</w:t>
      </w:r>
    </w:p>
    <w:p>
      <w:r>
        <w:rPr>
          <w:b/>
        </w:rPr>
        <w:t>E. 2</w:t>
      </w:r>
    </w:p>
    <w:p>
      <w:r>
        <w:t>Umstritten ist einzig, ob dem Beschwerdeführer bei seinem Vorgehen gegen den Beschwerdegegner Beamteneigenschaft im Sinn von Art. 285 Abs. 1 bzw. Art. 110 Abs. 3 StGB zukam oder nicht.</w:t>
      </w:r>
    </w:p>
    <w:p>
      <w:r>
        <w:rPr>
          <w:b/>
        </w:rPr>
        <w:t>E. 2.1</w:t>
      </w:r>
    </w:p>
    <w:p>
      <w:r>
        <w:t>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w:t>
      </w:r>
    </w:p>
    <w:p>
      <w:r>
        <w:rPr>
          <w:b/>
        </w:rPr>
        <w:t>E. 2.2</w:t>
      </w:r>
    </w:p>
    <w:p>
      <w:r>
        <w:t>"Die SBB erbringen als Kernaufgabe Dienstleistungen im öffentlichen Verkehr, namentlich in der Bereitstellung von Infrastruktur (...)" (Art. 3 Abs. 1 des Bundesgesetzes über die Schweizerischen Bundesbahnen vom 20. März 1998, SR 742.31; SBBG). Zur Bereitstellung der Bahninfrastruktur gehört notwendigerweise auch deren ordnungsgemässer Betrieb, zu dessen Gewährleistung die Eisenbahnunternehmen Vorschriften über die Benützung des Bahnhofgebiets erlassen können (Art. 23 des Eisenbahngesetzes vom 20. Dezember 1957, SR 742.101; EBG). Der Betrieb von Bahnhöfen ist somit zweifelsfrei eine öffentliche Aufgabe.</w:t>
      </w:r>
    </w:p>
    <w:p>
      <w:r>
        <w:rPr>
          <w:b/>
        </w:rPr>
        <w:t>E. 2.3</w:t>
      </w:r>
    </w:p>
    <w:p>
      <w:r>
        <w:t>Das bedeutet indessen nicht, dass alle Tätigkeiten, die in irgendeiner Weise zum Betrieb eines Bahnhofs gehören, per se als öffentliche Aufgaben zu betrachten wären. Die Gewährleistung von Ruhe und Ordnung auf dem Bahnareal bzw. der Sicherheit des Bahnbetriebs ist allerdings klarerweise eine polizeiliche und damit öffentliche Aufgabe. Die SBB waren nach Art. 12 des damals in Kraft stehenden Bundesgesetzes über die Handhabung der Bahnpolizei vom 18. Februar 1978 denn auch befugt, diese polizeilichen Aufgaben durch amtlich in die Pflicht genommene, hinsichtlich des amtlichen Charakters ihres Auftrags den kantonalen Polizeibeamten gleichgestellte Bahnpolizeibeamte zu erfüllen. Da die Beanspruchung des der öffentlichen Hand zustehenden Gewaltmonopols einer klaren gesetzlichen Grundlage bedarf, blieb für die Durchführung polizeilicher Aufgaben durch die SBB ausserhalb der Bahnpolizei nach damals geltendem Recht von vornherein kein Raum.</w:t>
      </w:r>
    </w:p>
    <w:p>
      <w:r>
        <w:rPr>
          <w:b/>
        </w:rPr>
        <w:t>E. 2.4</w:t>
      </w:r>
    </w:p>
    <w:p>
      <w:r>
        <w:t>Der Beschwerdeführer war kein Bahnpolizeibeamter im Sinn des Bahnpolizeigesetzes, sondern Angestellter der Securitrans, einer privatrechtlichen Aktiengesellschaft, an der die SBB (im Zeitpunkt des zu beurteilenden Vorfalls) mit 51 % und die Securitas AG mit 49 % beteiligt waren. Er war somit beim umstrittenen Vorfall als privatrechtlich Angestellter einer privaten Sicherheitsfirma tätig und hatte als solcher keine bahnpolizeilichen, den Bahnpolizeibeamten vorbehaltenen Aufgaben.</w:t>
      </w:r>
    </w:p>
    <w:p>
      <w:r>
        <w:rPr>
          <w:b/>
        </w:rPr>
        <w:t>E. 2.5</w:t>
      </w:r>
    </w:p>
    <w:p>
      <w:r>
        <w:t>Liess die SBB somit ihre Bahnhöfe ausserhalb ihrer bahnpolizeilichen Befugnisse von Angestellten der Securitrans überwachen, so kommt als einzig denkbare Grundlage das Hausrecht in Betracht, d.h. die aus dem Grundeigentum fliessende Befugnis, eine Hausordnung aufzustellen und durchzusetzen, wie sie auch jedem privaten Inhaber des Hausrechts - z.B. dem Wirt zur Durchsetzung von Ruhe und Ordnung in seinem Lokal - zukommt. Die Tätigkeit des Beschwerdeführers bestand in der Durchsetzung des (privatrechtlichen) Hausrechts für die SBB, nicht in der Erfüllung einer öffentlichen Aufgabe. Er handelte somit nicht als Beamter im Sinn von Art. 110 Abs. 3 bzw. Art. 285 Abs. 1 StGB . Die Nichtanhandnahme des Strafverfahrens gegen den Beschwerdegegner wegen Gewalt und Drohung gegen Beamte ist damit nicht zu beanstanden, die Rüge ist unbegründet.</w:t>
      </w:r>
    </w:p>
    <w:p>
      <w:r>
        <w:rPr>
          <w:b/>
        </w:rPr>
        <w:t>E. 3</w:t>
      </w:r>
    </w:p>
    <w:p>
      <w:r>
        <w:t>Die Beschwerde ist somit abzuweisen. Bei diesem Ausgang des Verfahrens wird der Beschwerdeführer kostenpflichtig (Art. 66. Abs. 1 BGG). Er hat dem Beschwerdegegner ausserdem eine angemessene Parteientschädigung zu bezahlen ( Art. 68 BGG ); dessen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