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1B_442/2021 vom 27. Oktober 2021</w:t>
      </w:r>
    </w:p>
    <w:p>
      <w:r>
        <w:t>Bundesgericht, 2021-10-27, FR</w:t>
      </w:r>
    </w:p>
    <w:p>
      <w:r>
        <w:rPr>
          <w:b/>
        </w:rPr>
        <w:t xml:space="preserve">Quelle: </w:t>
      </w:r>
      <w:r>
        <w:t>https://mcp.opencaselaw.ch/entscheid/bger_1B_442_2021</w:t>
      </w:r>
    </w:p>
    <w:p>
      <w:r>
        <w:t>FR: TF 1B_442/2021 du 27 octobre 2021</w:t>
      </w:r>
    </w:p>
    <w:p>
      <w:r>
        <w:t>IT: TF 1B_442/2021 del 27 ottobre 2021</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133 IV 335 consid. 4 et les références).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se plaint d'une violation des art. 14 par. 3 du Pacte international relatif aux droits civils et politiques (Pacte ONU II), 6 ch. 1 et 3 CEDH, 29 al. 3 Cst., 132 al. 1 let. b, al. 2 et 3 CPP. Il reproche à l'autorité précédente d'avoir jugé que la cause était de peu de gravité et ne présentait aucune difficulté de fait et de droit justifiant la nomination d'un avocat d'office.</w:t>
      </w:r>
    </w:p>
    <w:p>
      <w:r>
        <w:rPr>
          <w:b/>
        </w:rPr>
        <w:t>E. 2.1</w:t>
      </w:r>
    </w:p>
    <w:p>
      <w:r>
        <w:t>A teneur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cf. arrêt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1B_157/2021 du 31 mars 2021 consid.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1B_194/2021 du 21 juin 2021 consid. 3.1 et les arrêts cités).</w:t>
      </w:r>
    </w:p>
    <w:p>
      <w:r>
        <w:t>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(arrêts 1B_229/2021 du 9 septembre 2021 consid. 4.1; 1B_194/2021 du 21 juin 2021 consid. 3.1 et les arrêts cités).</w:t>
      </w:r>
    </w:p>
    <w:p>
      <w:r>
        <w:rPr>
          <w:b/>
        </w:rPr>
        <w:t>E. 2.2</w:t>
      </w:r>
    </w:p>
    <w:p>
      <w:r>
        <w:t>Conformément à l' art. 42 al. 1 LTF , le mémoire de recours doit être motivé. A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en particulier, la motivation doit être topique, c'est-à-dire se rapporter à la question juridique tranchée par l'autorité cantonale ( ATF 123 V 335 ).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la partie recourante ( art. 106 al. 2 LTF ), c'est-à-dire s'il a été expressément soulevé et exposé de manière claire et détaillée. Les critiques de nature appellatoire sont irrecevables (ATF ATF 146 IV 114 consid. 2.1; 142 III 364 consid. 2.4; arrêt 1B_252/2021 du 28 septembre 2021 consid. 3).</w:t>
      </w:r>
    </w:p>
    <w:p>
      <w:r>
        <w:rPr>
          <w:b/>
        </w:rPr>
        <w:t>E. 2.3</w:t>
      </w:r>
    </w:p>
    <w:p>
      <w:r>
        <w:t>En l'occurrence, l'instance précédente a jugé plausible l'indigence du recourant tout en laissant cette question ouverte eu égard à l'issue du litige. Elle a retenu en substance que la peine encourue restait dans les limites de ce qui pouvait être qualifié de cas de peu de gravité et que l'affaire ne revêtait pas de difficultés particulières en fait ou en droit propres à justifier l'intervention d'un avocat.</w:t>
      </w:r>
    </w:p>
    <w:p>
      <w:r>
        <w:rPr>
          <w:b/>
        </w:rPr>
        <w:t>E. 2.4</w:t>
      </w:r>
    </w:p>
    <w:p>
      <w:r>
        <w:t>Le recourant soutient au contraire qu'il serait indigent, que l'affaire ne serait pas de peu de gravité et qu'elle présenterait des difficultés justifiant la nomination d'un avocat d'office. Comme la question de la difficulté de l'affaire est décisive pour l'issue du litige, celles de l'indigence du recourant et de la gravité de la cause peuvent demeurer indécises.</w:t>
      </w:r>
    </w:p>
    <w:p>
      <w:r>
        <w:t>S'agissant de la difficulté de la cause, le recourant soutient qu'il ne serait pas à même de maîtriser seul les conséquences sur son permis de séjour de sa séparation avec son épouse, fonctionnaire internationale désormais domiciliée à l'étranger. De plus, ce serait à tort que la cour cantonale aurait retenu qu'il était capable de produire seul les pièces y relatives alors que sa situation personnelle - absence de permis de séjour, de domicile fixe et de revenu - l'en empêcherait. Toutefois, si ce n'est l'absence d'emploi du recourant, ces éléments ne ressortent pas des faits constatés par l'instance précédente et le recourant n'a soulevé à ce sujet aucun grief d'arbitraire. En outre, il se contente de substituer son appréciation des faits à celle de la cour cantonale, et ce, de façon appellatoire. Dans tous les cas, il ne démontre pas que sa situation administrative compliquerait la subsomption à effectuer. Il n'allègue pas non plus, ni a fortiori ne démontre, que cette situation aurait évolué depuis ses dernières condamnations pour séjour illégal et qu'elle engendrerait des complications qu'il ne serait pas à même de maîtriser seul. Au contraire, comme l'a constaté la cour cantonale, le recourant, de langue maternelle française, connaît les conditions de réalisation de l'infraction de séjour illégal pour laquelle il a déjà été condamné à quatre reprises et est à même d'y faire face seul: il ne démontre ainsi pas en quoi sa cause présenterait des difficultés objectives ou subjectives justifiant la nomination d'un avocat d'office.</w:t>
      </w:r>
    </w:p>
    <w:p>
      <w:r>
        <w:t>Son allégation selon laquelle il conviendrait de répondre à la question de savoir si l'exercice du droit fondamental à s'entretenir avec son conseil constituerait un fait justificatif à une infraction de séjour illégal n'y change rien. En effet, l'on peine à discerner en quoi cet élément présenterait des difficultés juridiques particulières, quand bien même cette question n'aurait pas été tranchée par la jurisprudence. De plus, il ressort de l'arrêt attaqué que le recourant a connaissance de l'existence de faits justificatifs à l'infraction de séjour illégal puisqu'il a déjà invoqué avec succès, devant l'autorité de première instance, avoir été au bénéfice d'un sauf-conduit du 5 au 6 janvier 2021. Il ne démontre ainsi pas que la cour cantonale aurait violé le doit applicable en retenant qu'il pouvait mentionner ce fait seul. Enfin, sous peine de violer les exigences de motivation découlant de l' art. 42 al. 2 LTF , le recourant ne peut se contenter de soutenir que l'affaire poserait d'importantes questions au sujet de la peine applicable sans se prononcer sur les considérations de la cour cantonale à cet égard. Or, cette dernière a exposé à juste titre que les principes applicables à la quotité de la sanction en cas de séjour illégal faisait l'objet d'une jurisprudence publiée qui ne saurait échapper au juge saisi.</w:t>
      </w:r>
    </w:p>
    <w:p>
      <w:r>
        <w:t>Quant à l'infraction de souillure ( art. 11C al. 1 let . c LPG), le recourant la conteste: il prétend ne pas avoir uriné sur la voie publique. Toutefois, au contraire de ce qu'il soutient, cette contestation n'est pas à même de démontrer une quelconque difficulté justifiant la nomination d'un avocat d'office.</w:t>
      </w:r>
    </w:p>
    <w:p>
      <w:r>
        <w:t>Finalement, c'est à tort et de façon appellatoire que le recourant répète son argumentation déjà développée devant l'instance précédente selon laquelle toute personne disposant de ressources financières suffisantes, n'ayant pas de compétences juridiques, ayant déjà été condamnée à plusieurs reprises et faisant face à une peine de plus de 120 jours-amendes n'hésiterait pas à faire appel à un avocat pour l'assister lors de son procès. Par ailleurs, la pluralité de condamnations pour une même infraction et la connaissance logiquement acquise à l'égard de celle-ci plaident plutôt en faveur de la solution contraire.</w:t>
      </w:r>
    </w:p>
    <w:p>
      <w:r>
        <w:rPr>
          <w:b/>
        </w:rPr>
        <w:t>E. 2.5</w:t>
      </w:r>
    </w:p>
    <w:p>
      <w:r>
        <w:t>Au vu de ce qui précède, la cause ne présente aucune complexité particulière: les infractions pour lesquelles le recourant a été condamné et qu'il conteste en partie, soit séjour illégal en Suisse et souillure ( art. 11C al. 1 let . c LPG), ne posent aucune difficulté de compréhension, même pour une personne dépourvue de toute connaissance juridique (cf. arrêt 1B_494/2019 du 20 décembre 2019 consid. 3.2).</w:t>
      </w:r>
    </w:p>
    <w:p>
      <w:r>
        <w:rPr>
          <w:b/>
        </w:rPr>
        <w:t>E. 3</w:t>
      </w:r>
    </w:p>
    <w:p>
      <w:r>
        <w:t>Par conséquent, le recours est rejeté dans la mesure de sa recevabilité.</w:t>
      </w:r>
    </w:p>
    <w:p>
      <w:r>
        <w:t>Cette issue, d'emblée prévisible, conduit au rejet de la demande d'assistance judiciaire. Toutefois, pour tenir compte de la situation de précarité du recourant,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