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1B_442/2020 vom 14. Januar 2021</w:t>
      </w:r>
    </w:p>
    <w:p>
      <w:r>
        <w:t>Bundesgericht, 2021-01-14, FR</w:t>
      </w:r>
    </w:p>
    <w:p>
      <w:r>
        <w:rPr>
          <w:b/>
        </w:rPr>
        <w:t xml:space="preserve">Quelle: </w:t>
      </w:r>
      <w:r>
        <w:t>https://mcp.opencaselaw.ch/entscheid/bger_1B_442_2020</w:t>
      </w:r>
    </w:p>
    <w:p>
      <w:r>
        <w:t>FR: TF 1B_442/2020 du 14 janvier 2021</w:t>
      </w:r>
    </w:p>
    <w:p>
      <w:r>
        <w:t>IT: TF 1B_442/2020 del 14 gennaio 2021</w:t>
      </w:r>
    </w:p>
    <w:p>
      <w:pPr>
        <w:pStyle w:val="Heading2"/>
      </w:pPr>
      <w:r>
        <w:t>Erwägungen</w:t>
      </w:r>
    </w:p>
    <w:p>
      <w:r>
        <w:rPr>
          <w:b/>
        </w:rPr>
        <w:t>E. 1.1</w:t>
      </w:r>
    </w:p>
    <w:p>
      <w:r>
        <w:t>Le recours est dirigé contre une décision de la Cour des plaintes du Tribunal pénal fédéral, qui porte sur la mise sous scellés de données saisies lors d'une perquisition au sens de l' art. 50 DPA , soit dès lors sur des mesures de contrainte au sens de l' art. 79 LTF , de sorte que cette décision est susceptible de faire l'objet d'un recours en matière pénale au Tribunal fédéral ( ATF 139 IV 246 consid. 1.3 p. 248; arrêt 1B_71/2019 du 3 juillet 2019 consid. 1, non publié aux ATF 145 IV 273 ).</w:t>
      </w:r>
    </w:p>
    <w:p>
      <w:r>
        <w:rPr>
          <w:b/>
        </w:rPr>
        <w:t>E. 1.2</w:t>
      </w:r>
    </w:p>
    <w:p>
      <w:r>
        <w:t>Ne mettant pas un terme à la procédure pénale administrative dirigée notamment contre le recourant, la décision attaquée est de nature incidente. Le recours au Tribunal fédéral n'est donc en principe recevable qu'en présence d'un préjudice irréparable au sens de l' art. 93 al. 1 let. a LTF . En matière pénale, la notion de préjudice irréparable au sens de l' art. 93 al. 1 let. a LTF se rapporte à un dommage de nature juridique qui ne puisse pas être réparé ultérieurement par un jugement final ou une autre décision favorable au recourant ( ATF 144 IV 127 consid. 1.3.1 p. 130).</w:t>
      </w:r>
    </w:p>
    <w:p>
      <w:r>
        <w:t>Il ressort en l'espèce de la décision attaquée que, nonobstant le refus de l'AFC de donner suite à la requête du recourant du 9 mars 2020 tendant à la mise sous scellés des données de sa messagerie électronique, l'intégralité des données saisies lors de la perquisition des 19 et 20 février 2020, y compris celles concernant le recourant, sont néanmoins actuellement placées sous scellés par suite de l'opposition à la perquisition formée par la banque précitée (cf. décision attaquée, ad " Faits ", let. B p. 2; dossier de la Cour des plaintes, act. 2.3 et 2.4), ce que l'AFC a également confirmé dans ses déterminations du 22 septembre 2020 (cf. ch. III/1 p. 3). Il n'y a, dans ce contexte, rien d'évident à considérer que la décision attaquée soit propre à causer un préjudice au recourant.</w:t>
      </w:r>
    </w:p>
    <w:p>
      <w:r>
        <w:t>De surcroît, le recourant ne prend pas de conclusions tendant à ce qu'il soit admis à participer à la procédure de levée de scellés qui pourrait avoir été initiée par l'AFC. Il ne prétend d'ailleurs pas non plus avoir formellement sollicité de la Cour des plaintes de pouvoir, le cas échéant, participer à cette procédure, ni en avoir indûment été écarté. Il n'apparaît dès lors pas que la décision attaquée revête un caractère définitif quant au maintien des scellés actuellement apposés sur les données litigieuses.</w:t>
      </w:r>
    </w:p>
    <w:p>
      <w:r>
        <w:rPr>
          <w:b/>
        </w:rPr>
        <w:t>E. 1.3</w:t>
      </w:r>
    </w:p>
    <w:p>
      <w:r>
        <w:t>Il s'ensuit qu'à défaut pour le recourant de pouvoir valablement se prévaloir d'un préjudice irréparable au sens de l' art. 93 al. 1 let. a LTF , son recours est irrecevable.</w:t>
      </w:r>
    </w:p>
    <w:p>
      <w:r>
        <w:rPr>
          <w:b/>
        </w:rPr>
        <w:t>E. 2</w:t>
      </w:r>
    </w:p>
    <w:p>
      <w:r>
        <w:t>Le recourant, qui succombe, supporte les frais judiciaires ( art. 66 al. 1 LTF ).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