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441/2015 vom 15. Februar 2016</w:t>
      </w:r>
    </w:p>
    <w:p>
      <w:r>
        <w:t>Bundesgericht, 2016-02-15, DE</w:t>
      </w:r>
    </w:p>
    <w:p>
      <w:r>
        <w:rPr>
          <w:b/>
        </w:rPr>
        <w:t xml:space="preserve">Quelle: </w:t>
      </w:r>
      <w:r>
        <w:t>https://mcp.opencaselaw.ch/entscheid/bger_1B_441_2015</w:t>
      </w:r>
    </w:p>
    <w:p>
      <w:r>
        <w:t>FR: TF 1B 441/2015 du 15 février 2016</w:t>
      </w:r>
    </w:p>
    <w:p>
      <w:r>
        <w:t>IT: TF 1B 441/2015 del 15 febbraio 2016</w:t>
      </w:r>
    </w:p>
    <w:p>
      <w:pPr>
        <w:pStyle w:val="Heading2"/>
      </w:pPr>
      <w:r>
        <w:t>Regeste</w:t>
      </w:r>
    </w:p>
    <w:p>
      <w:r>
        <w:t>Strafverfahren; unentgeltliche Rechtspflege und Verbeiständung | Strafprozess</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133 IV 335 E. 4 S. 338 mit Hinweisen). Die Beschwerdeführerin ist gestützt auf Art. 81 Abs. 1 lit. b Ziff. 5 BGG zur Beschwerde legitimiert, da sich der Entscheid auf die Beurteilung ihrer Zivilansprüche auswirken kann.</w:t>
      </w:r>
    </w:p>
    <w:p>
      <w:r>
        <w:rPr>
          <w:b/>
        </w:rPr>
        <w:t>E. 2.1</w:t>
      </w:r>
    </w:p>
    <w:p>
      <w:r>
        <w:t>Die Vorinstanz hat erwogen, die Bedürftigkeit der Beschwerdeführerin sei ohne Weiteres gegeben. Bei der Beurteilung der Erfolgsaussichten der Zivilklage sei zu berücksichtigen, dass die Aussagen der beiden unmittelbar Beteiligten die einzigen Beweismittel darstellten. Die Vorinstanz sei in ihrem sorgfältig begründeten Entscheid vom 12. Juni 2015 zum Schluss gekommen, dass die Aussagen der Beschwerdeführerin insgesamt weniger glaubhaft seien als jene des Beschuldigten, obwohl auch bezüglich der letzteren einige Zweifel an der Richtigkeit bestünden. Bei dieser Sachlage sei in Anwendung des Grundsatzes "in dubio pro reo" eine Bestätigung des erstinstanzlichen Entscheids deutlich wahrscheinlicher als eine Verurteilung des Beschuldigten wegen versuchter Vergewaltigung. Die adhäsionsweise geltend gemachte Zivilklage auf Bezahlung einer Genugtuung von Fr. 8'000.-- zuzüglich Zinsen erscheine daher aussichtslos. Damit seien die Voraussetzungen für die Gewährung der unentgeltlichen Rechtspflege nach Art. 136 Abs. 1 StPO nicht gegeben. In Anwendung von Art. 383 Abs. 1 StPO sei die Beschwerdeführerin zu verpflichten, bis zum 31. Dezember 2015 für allfällige Kosten und Entschädigungen eine Sicherheit von Fr. 7'400.-- zu leisten. Werde die Sicherheit nicht fristgerecht bezahlt, werde gestützt auf Art. 383 Abs. 2 StPO auf die Berufung nicht eingetreten.</w:t>
      </w:r>
    </w:p>
    <w:p>
      <w:r>
        <w:rPr>
          <w:b/>
        </w:rPr>
        <w:t>E. 2.2</w:t>
      </w:r>
    </w:p>
    <w:p>
      <w:r>
        <w:t>Die Beschwerdeführerin beruft sich auf Art. 29 Abs. 3 BV und macht geltend, die Vorinstanz übersehe mit ihren Ausführungen, dass mit der Berufung ausdrücklich auch die Aufhebung von Dispositiv-Ziffer 6 / 2. Satz betreffend Rückzahlungsverpflichtung beantragt worden sei. Gemäss Art. 30 Abs. 3 OHG (SR 312.5) müssten das Opfer und seine Angehörigen die Kosten für einen unentgeltlichen Rechtsbeistand nicht zurückerstatten. Wie das Bundesgericht in BGE 141 IV 262 entschieden habe, stelle Art. 30 Abs. 3 OHG eine lex specialis zu Art. 138 Abs. 1 i.V.m. Art. 135 Abs. 4 StPO dar. Entsprechend hätte das Kreisgericht sie nicht zur Rückzahlung der Entschädigung verpflichten dürfen. Zumindest in diesem Punkt sei die Berufung nicht aussichtslos. Dies gelte indes auch für den Zivilpunkt. Die Vorinstanz habe zu wenig berücksichtigt, dass der Beschuldigte bei seiner ersten Einvernahme am Tag nach der mutmasslichen Tat Handlungen zugegeben habe, die deutlich über eine sexuelle Belästigung hinausgingen.</w:t>
      </w:r>
    </w:p>
    <w:p>
      <w:r>
        <w:rPr>
          <w:b/>
        </w:rPr>
        <w:t>E. 2.3.1</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 Bei Art. 29 Abs. 3 BV handelt sich um eine verfassungsmässige Minimalgarantie, welche für das Strafverfahren von der StPO umgesetzt und konkretisiert wird. Die StPO kann über die Garantie von Art. 29 Abs. 3 BV hinausgehen, diese aber nicht einschränken (vgl. Urteil 1B_355/2012 vom 12. Oktober 2012 E. 3, in: Pra 2013 Nr. 1 S. 1). Art. 136 Abs. 1 StPO konkretisiert die Voraussetzungen für die Gewährung der unentgeltlichen Rechtspflege für die Privatklägerschaft im Strafverfahren. Dieser ist die unentgeltliche Rechtspflege für die Durchsetzung ihrer Zivilansprüche ganz oder teilweise zu gewähren, wenn sie nicht über die erforderlichen Mittel verfügt und die Zivilklage nicht aussichtslos erscheint. Wenn sich die Privatklägerschaft ausschliesslich im Strafpunkt beteiligt, ist die unentgeltliche Rechtspflege nach dem Willen des Gesetzgebers im Grundsatz ausgeschlossen, da der staatliche Strafanspruch grundsätzlich durch den Staat wahrgenommen wird. Diese Beschränkung ist mit Art. 29 Abs. 3 BV vereinbar (vgl. Urteil 1B_458/2015 vom 16. Dezember 2015 E. 4.3 und 4.4). Nach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w:t>
      </w:r>
    </w:p>
    <w:p>
      <w:r>
        <w:rPr>
          <w:b/>
        </w:rPr>
        <w:t>E. 2.3.2</w:t>
      </w:r>
    </w:p>
    <w:p>
      <w:r>
        <w:t>Gemäss Art. 138 Abs. 1 StPO richtet sich die Entschädigung des Rechtsbeistands der Privatklägerschaft sinngemäss nach Art. 135 StPO . Art. 135 Abs. 4 StPO bestimmt, dass die beschuldigte Person bei einer Verurteilung zu den Verfahrenskosten dazu verpflichtet ist, dem Bund oder dem Kanton die der amtlichen Verteidigung ausgerichtete Entschädigung zurückzuzahlen, sobald es ihre wirtschaftlichen Verhältnisse erlauben. Gemäss Art. 30 Abs. 3 OHG müssen das Opfer und seine Angehörigen die Kosten für einen unentgeltlichen Rechtsbeistand nicht zurückerstatten.</w:t>
      </w:r>
    </w:p>
    <w:p>
      <w:r>
        <w:rPr>
          <w:b/>
        </w:rPr>
        <w:t>E. 2.4</w:t>
      </w:r>
    </w:p>
    <w:p>
      <w:r>
        <w:t>Die Beschwerdeführerin hat sich nicht ausschliesslich im Strafpunkt beteiligt, sondern hat Zivilansprüche gestellt. Ob ihre Zivilklage, wie die Vorinstanz geschlossen hat, aussichtslos erscheint und damit die Voraussetzung von Art. 136 Abs. 1 lit. b StPO nicht erfüllt ist, kann vorliegend indes offen bleiben, denn die Beschwerdeführerin kann sich mit Erfolg auf die Minimalgarantie von Art. 29 Abs. 3 BV berufen. Ihre Bedürftigkeit ist erstellt und ihre Berufung ist, soweit sie sich gegen die ihr auferlegte Rückzahlungsverpflichtung richtet, nicht aussichtslos. Wie von der Beschwerdeführerin korrekt wiedergegeben, hat das Bundesgericht in BGE 141 IV 262 entschieden, dass Art. 30 Abs. 3 OHG eine lex specialis zu Art. 138 Abs. 1 i.V.m. Art. 135 Abs. 4 StPO darstellt und das Opfer daher nicht zur Rückzahlung der Entschädigung verpflichtet werden kann. Bei summarischer Prüfung der Rechtslage erscheint die Beschwerde in diesem Punkt somit begründet, jedenfalls aber nicht aussichtslos. Die Rückzahlungsverpflichtung kann einzig mittels Berufung angefochten werden und die Bestellung einer Rechtsbeiständin ist zur Wahrung der Rechte der Beschwerdeführerin erforderlich, da diese mangels hinreichender juristischer Kenntnisse ihre Sache, auf sich allein gestellt, nicht wirksam vertreten könnte. Zusammenfassend hat die Beschwerdeführerin folglich für das Berufungsverfahren unmittelbar gestützt auf Art. 29 Abs. 3 BV einen Anspruch auf unentgeltliche Rechtspflege.</w:t>
      </w:r>
    </w:p>
    <w:p>
      <w:r>
        <w:rPr>
          <w:b/>
        </w:rPr>
        <w:t>E. 2.5</w:t>
      </w:r>
    </w:p>
    <w:p>
      <w:r>
        <w:t>Die Vorinstanz hätte der Beschwerdeführerin nach dem Gesagten die unentgeltliche Rechtspflege (zumindest teilweise) gewähren und sie insoweit auch nicht zur Bezahlung einer Sicherheitsleistung verpflichten dürfen. Der Vorbehalt von Art. 383 Abs. 1 Satz 2 StPO muss sich auch auf die verfassungsmässige Minimalgarantie von Art. 29 Abs. 3 BV beziehen, welche durch Art. 136 StPO nicht eingeschränkt werden darf.</w:t>
      </w:r>
    </w:p>
    <w:p>
      <w:r>
        <w:rPr>
          <w:b/>
        </w:rPr>
        <w:t>E. 3</w:t>
      </w:r>
    </w:p>
    <w:p>
      <w:r>
        <w:t>Die Beschwerde ist gutzuheissen und die angefochtene Verfügung des Präsidenten der Strafkammer des Kantonsgerichts vom 24. November 2015 aufzuheben. Die Vorinstanz wird angewiesen, der Beschwerdeführerin für das Berufungsverfahren die unentgeltliche Rechtspflege im Sinne der Erwägungen zu gewähren. Bei diesem Verfahrensausgang sind keine Kosten zu erheben ( Art. 66 Abs. 4 BGG ). Der Kanton St. Gallen hat die Rechtsvertreterin der Beschwerdeführerin für das bundesgerichtliche Verfahren angemessen zu entschädigen ( Art. 68 Abs. 1 und 2 BGG ).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