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1B_440/2021 vom 17. Februar 2022</w:t>
      </w:r>
    </w:p>
    <w:p>
      <w:r>
        <w:t>Bundesgericht, 2022-02-17, DE</w:t>
      </w:r>
    </w:p>
    <w:p>
      <w:r>
        <w:rPr>
          <w:b/>
        </w:rPr>
        <w:t xml:space="preserve">Quelle: </w:t>
      </w:r>
      <w:r>
        <w:t>https://mcp.opencaselaw.ch/entscheid/bger_1B_440_2021</w:t>
      </w:r>
    </w:p>
    <w:p>
      <w:r>
        <w:t>FR: TF 1B_440/2021 du 17 février 2022</w:t>
      </w:r>
    </w:p>
    <w:p>
      <w:r>
        <w:t>IT: TF 1B_440/2021 del 17 febbraio 2022</w:t>
      </w:r>
    </w:p>
    <w:p>
      <w:pPr>
        <w:pStyle w:val="Heading2"/>
      </w:pPr>
      <w:r>
        <w:t>Erwägungen</w:t>
      </w:r>
    </w:p>
    <w:p>
      <w:r>
        <w:rPr>
          <w:b/>
        </w:rPr>
        <w:t>E. 1</w:t>
      </w:r>
    </w:p>
    <w:p>
      <w:r>
        <w:t>Die Beschwerde richtet sich gegen einen Nichteintretensentscheid einer letzten kantonalen Instanz ( Art. 80 Abs. 1 BGG ), der im Rahmen eines Strafverfahrens ergangen ist. Dagegen kann grundsätzlich Beschwerde in Strafsachen erhoben werden ( Art. 78 Abs. 1 BGG ).</w:t>
      </w:r>
    </w:p>
    <w:p>
      <w:r>
        <w:t>Angefochten ist ein Zwischenentscheid, der grundsätzlich nur unter der Voraussetzung von Art. 93 BGG angefochten werden kann. Soweit sich die Beschwerde wie hier jedoch auf die Frage der Zulässigkeit einer kantonalen Beschwerde bezieht und somit eine formelle Rechtsverweigerung geltend gemacht wird, tritt das Bundesgericht unabhängig vom Erfordernis eines nicht wieder gutzumachenden Nachteils im Sinne dieser Bestimmung auf das Rechtsmittel ein ( BGE 143 I 344 E. 1.2; 138 IV 258 E. 1.1; Urteil 1B_197/2021 vom 12. Januar 2022 E. 1.2; je mit Hinweisen).</w:t>
      </w:r>
    </w:p>
    <w:p>
      <w:r>
        <w:t>Gemäss den Angaben des Beschwerdeführers verlängerte die Staatsanwaltschaft das Weiterleitungsverbot mit Verfügung vom 26. Juli 2021 bis am 26. Januar 2022. Ob seither eine weitere Verlängerung erfolgte, ist nicht bekannt. Das Fortbestehen eines aktuellen Rechtsschutzinteresses ( Art. 81 Abs. 1 lit. b BGG ) ist deshalb nicht erstellt. Angesichts des Verfahrensausgangs kann die Frage jedoch offen bleiben.</w:t>
      </w:r>
    </w:p>
    <w:p>
      <w:r>
        <w:t>Die weiteren Sachurteilsvoraussetzungen geben zu keinen Bemerkungen Anlass. Auf die Beschwerde ist mit dem genannten Vorbehalt grundsätzlich einzutreten.</w:t>
      </w:r>
    </w:p>
    <w:p>
      <w:r>
        <w:rPr>
          <w:b/>
        </w:rPr>
        <w:t>E. 2</w:t>
      </w:r>
    </w:p>
    <w:p>
      <w:r>
        <w:t>Der Beschwerdeführer rügt eine Verletzung von Art. 30 Abs. 1 BV , weil das Obergericht ohne vorgängige Mitteilung in einer anderen Besetzung als in seiner Verfügung vom 14. Oktober 2020 angekündigt entschieden habe.</w:t>
      </w:r>
    </w:p>
    <w:p>
      <w:r>
        <w:t>Erst wenn der Partei die Motive für die Besetzungsänderung bekannt gegeben worden sind, ist sie in der Lage und liegt es an ihr, die Sachlichkeit der Gründe substanziiert zu bestreiten ( BGE 142 I 93 E. 8.2 mit Hinweisen). Daraus folgt, dass es sinnvoll ist, eine Besetzungsänderung bereits vor dem Entscheid mitzuteilen und zu begründen. Zwingend erforderlich ist dies jedoch nicht. Das Bundesgericht hat es auch zugelassen, dass eine Vorinstanz die Begründung erst im Rahmen des Schriftenwechsels im bundesgerichtlichen Verfahren nachlieferte, diesen Umstand allerdings bei den Kosten- und Entschädigungsfolgen berücksichtigt (Urteil 1B_79/2017 vom 21. September 2017 E. 2.1 mit Hinweisen). Es war somit ausreichend, wenn das Obergericht die Änderung seiner Besetzung im angefochtenen Beschluss selbst bekanntgegeben und begründet hat.</w:t>
      </w:r>
    </w:p>
    <w:p>
      <w:r>
        <w:rPr>
          <w:b/>
        </w:rPr>
        <w:t>E. 3</w:t>
      </w:r>
    </w:p>
    <w:p>
      <w:r>
        <w:t>Weiter ist der Beschwerdeführer der Auffassung, das Obergericht habe seinen Anspruch auf rechtliches Gehör verletzt. Es habe sich mit seinem zentralen Argument, wonach er ein privates Interesse an der Verhinderung der Umgehung des Rechtshilfewegs durch die informelle Weiterleitung von Erkenntnissen aus den Verfahrensakten habe, nicht auseinandergesetzt.</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t>Das Obergericht legte unter Bezugnahme auf das Urteil 1B_563/2020 vom 29. Januar 2021 dar, dass der Beschwerdeführer aus seiner Stellung als im schweizerischen und in den (gemäss seinen eigenen Aussagen) weltweit gegen ihn geführten Strafverfahren keine Beschwerdelegitimation herleiten könne. Herrinnen der zur Diskussion stehenden Geschäftsgeheimnisse seien die betroffenen Gesellschaften. Gleich wie im Entsiegelungsverfahren könne sich der Beschwerdeführer nicht auf deren Geheimnisrechte berufen. Er sei deshalb durch die angefochtene Ausnahmebewilligung nicht in eigenen schutzwürdigen Interessen betroffen.</w:t>
      </w:r>
    </w:p>
    <w:p>
      <w:r>
        <w:t>Auch wenn das Obergericht sich nicht zur Frage der Umgehung des Rechtshilfewegs äusserte, geht aus seinen Ausführungen klar hervor, weshalb es auf die Beschwerde nicht eintrat. Der Beschwerdeführer wurde dadurch ohne Weiteres in die Lage versetzt, den Entscheid des Obergerichts sachgerecht anzufechten. Die Rüge ist somit unbegründet.</w:t>
      </w:r>
    </w:p>
    <w:p>
      <w:r>
        <w:rPr>
          <w:b/>
        </w:rPr>
        <w:t>E. 4.1</w:t>
      </w:r>
    </w:p>
    <w:p>
      <w:r>
        <w:t>Indem das Obergericht auf die Beschwerde nicht eintrat, verletzte es in den Augen des Beschwerdeführers Art. 382 StPO . Auf das Betroffensein in gesetzlich geschützten Geheimnisinteressen komme es - anders als im Entsiegelungsverfahren - nicht an. Der Hinweis des Obergerichts auf das Urteil 1B_563/2020 vom 29. Januar 2021 gehe deshalb fehl. Nach Art. 73 Abs. 2 StPO reiche ein privates Interesse aus. Dieses liege hier in seinem Bestreben begründet, die Umgehung des Rechtshilfewegs zu verhindern. Er sei nämlich noch immer in diverse ausländische Verfahren involviert und bereits zu Beginn der Strafuntersuchung sei klar geworden, dass die Geschädigte das Strafverfahren vor allem eingeleitet habe, um an nicht öffentliche Informationen heranzukommen. Indem das Obergericht fehlende Geheimhaltungsinteressen und private Interessen kurzerhand gleichsetzte, habe es zudem den Sachverhalt willkürlich festgestellt. Offensichtlich falsch sei auch die Feststellung der Vorinstanz, wonach das Weiterleitungsverbot ursprünglich mit privaten Interessen des Beschwerdeführers begründet worden sei. Das Verbot habe nicht bloss ursprünglich, sondern durchwegs seinen privaten Interessen gedient, indem es die Einhaltung des Rechtshilfewegs garantieren sollte.</w:t>
      </w:r>
    </w:p>
    <w:p>
      <w:r>
        <w:rPr>
          <w:b/>
        </w:rPr>
        <w:t>E. 4.2</w:t>
      </w:r>
    </w:p>
    <w:p>
      <w:r>
        <w:t>Die Rüge, das Obergericht habe den Sachverhalt willkürlich festgestellt ( Art. 97 Abs. 1 BGG ), ist unbegründet. Ob private Interessen und Geheimhaltungsinteressen dasselbe sind, ist nicht eine Frage des Sachverhalts, sondern der Rechtsanwendung. Ob es falsch ist zu schreiben, das Weiterleitungsverbot sei "ursprünglich" mit privaten Interessen begründet worden, wenn dies doch durchwegs der Fall gewesen sei, kann dahingestellt bleiben. Nach Art. 97 Abs. 1 BGG sind nur diejenigen Mängel in der Sachverhaltsfeststellung von Bedeutung, die für den Ausgang des Verfahrens entscheidend sein können, was auf den vom Beschwerdeführer behaupteten Mangel offensichtlich nicht zutrifft.</w:t>
      </w:r>
    </w:p>
    <w:p>
      <w:r>
        <w:rPr>
          <w:b/>
        </w:rPr>
        <w:t>E. 4.3</w:t>
      </w:r>
    </w:p>
    <w:p>
      <w:r>
        <w:t>Nach Art. 382 Abs. 1 StPO kann jede Partei, die ein rechtlich geschütztes Interesse an der Aufhebung oder Änderung eines Entscheids hat, ein Rechtsmittel ergreifen. Ein rechtlich geschütztes Interesse liegt nur vor, wenn der Beschwerdeführer selbst in seinen eigenen Rechten unmittelbar und direkt betroffen ist. Eine blosse Reflexwirkung genügt nicht ( BGE 145 IV 161 E. 3.1; Urteil 6B_942/2016 vom 7. September 2017 E. 2.3, nicht publ. in BGE 143 IV 313 ; je mit Hinweisen).</w:t>
      </w:r>
    </w:p>
    <w:p>
      <w:r>
        <w:t>Eine direkte Betroffenheit in eigenen Rechten hat das Bundesgericht etwa verneint für die Familienmitglieder der beschuldigten Person, gegen die eine Landesverweisung ausgesprochen wurde ( BGE 145 IV 161 ); für den an einem Konto bloss wirtschaftlich Berechtigten, der sich gegen eine Kontosperre oder Beschlagnahme wehrt (Urteil 1B_498/2017 vom 27. März 2018 E. 4 mit Hinweisen), hinsichtlich Überwachungen, die nicht gegen den Beschwerdeführer persönlich, sondern gegen andere Personen angeordnet wurden (Urteil 1B_259/ 2019 vom 25. Februar 2020 E. 2 mit Hinweisen), und hinsichtlich der Siegelung, die den Beschwerdeführer nicht in eigenen gesetzlich geschützten Geheimnisinteressen tangiert (Urteil 1B_563/2020 vom 29. Januar 2021 E. 1.3 mit Hinweisen).</w:t>
      </w:r>
    </w:p>
    <w:p>
      <w:r>
        <w:t>Vor diesem Hintergrund kam das Obergericht zu Recht zum Ergebnis, dass der Beschwerdeführer nicht aufgezeigt habe, inwiefern er selbst in direkter Weise in seinen von Art. 73 Abs. 2 StPO geschützten privaten Interessen betroffen ist. Zu diesen Interessen gehört z.B. das Persönlichkeitsrecht, das durch Indiskretionen verletzt werden könnte (vgl. Urteil 1B_315/2014 vom 11. Mai 2015 E. 4.3 mit Hinweisen). Die Möglichkeit, dass die Strafverfahrensakten für Verfahren im Ausland verwendet werden könnten, genügt dagegen nicht. Auch im Bereich der internationalen Rechtshilfe in Strafsachen ist denn auch der bloss wirtschaftlich an einem Bankkonto, Banksafe oder Wertschriftendepot Berechtigte im Gegensatz zum Inhaber grundsätzlich nicht legitimiert, Rechtshilfemassnahmen anzufechten, welche die Bankverbindung betreffen ( BGE 139 II 404 E. 2.1.1; Urteil 1C_345/2020 vom 24. Juni 2020 mit Hinweisen auf eine hier nicht interessierende Ausnahme).</w:t>
      </w:r>
    </w:p>
    <w:p>
      <w:r>
        <w:rPr>
          <w:b/>
        </w:rPr>
        <w:t>E. 5</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