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1B_440/2019 vom 3. Oktober 2019</w:t>
      </w:r>
    </w:p>
    <w:p>
      <w:r>
        <w:t>Bundesgericht, 2019-10-03, FR</w:t>
      </w:r>
    </w:p>
    <w:p>
      <w:r>
        <w:rPr>
          <w:b/>
        </w:rPr>
        <w:t xml:space="preserve">Quelle: </w:t>
      </w:r>
      <w:r>
        <w:t>https://mcp.opencaselaw.ch/entscheid/bger_1B_440_2019</w:t>
      </w:r>
    </w:p>
    <w:p>
      <w:r>
        <w:t>FR: TF 1B_440/2019 du 3 octobre 2019</w:t>
      </w:r>
    </w:p>
    <w:p>
      <w:r>
        <w:t>IT: TF 1B_440/2019 del 3 ottobre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la recourante, prévenue actuellement détenue,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Les éléments ultérieurs à l'arrêt attaqué, dont le rapport final de la police du 22 août 2019, le rapport du Commissariat d'identification judiciaire (CIJ) du 30 août 2019 et le témoignage du 20 septembre 2019 d'une co-détenue invoqués dans les déterminations du 30 septembre 2019, sont irrecevables ( art. 99 al. 1 LTF ).</w:t>
      </w:r>
    </w:p>
    <w:p>
      <w:r>
        <w:rPr>
          <w:b/>
        </w:rPr>
        <w:t>E. 3</w:t>
      </w:r>
    </w:p>
    <w:p>
      <w:r>
        <w:t>Dans un premier grief, la recourante conteste l'existence de charges suffisantes pesant à son encontre.</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400 consid. 1.1 p. 503).</w:t>
      </w:r>
    </w:p>
    <w:p>
      <w:r>
        <w:rPr>
          <w:b/>
        </w:rPr>
        <w:t>E. 3.2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(art. 221 al. 1 let. a, b et c CPP). Préalablement à l'examen de ces hypothèses, il doit exister à l'égard de l'intéressé des charges suffisantes, soit de sérieux soupçons de culpabilité ( art. 221 al. 1 CPP ; ATF 139 IV 186 consid. 2 p. 187 s.).</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1B_184/2019 du 9 mai 2019 consid. 5.1).</w:t>
      </w:r>
    </w:p>
    <w:p>
      <w:r>
        <w:rPr>
          <w:b/>
        </w:rPr>
        <w:t>E. 3.3</w:t>
      </w:r>
    </w:p>
    <w:p>
      <w:r>
        <w:t>Après avoir résumé la motivation retenue par le Tmc sur cette question (cf. consid. 2.2), ainsi que les arguments soulevés par la recourante à cet égard (cf. consid. 2.3), la cour cantonale a constaté qu'il était établi que l'enfant n'était pas mort par accident en tombant de son lit et que l'intervention d'une tierce personne n'entrait pas en considération, ne pouvant ainsi s'agir que de la recourante et/ou du père de l'enfant. L'autorité précédente a ensuite relevé que la recourante s'était trouvée seule avec l'enfant pendant plusieurs heures (22h00-03h00), ce qui n'avait pas été le cas du père; de plus, ce n'était pas le retour de ce dernier qui l'avait réveillée, puisque la recourante avait adressé un message par téléphone une vingtaine de minutes auparavant (02h42). Selon la juridiction cantonale, le mobile avancé par le Ministère public et retenu par le Tmc (cf. vu le consid. 2.2 p. 3 de l'arrêt attaqué) - absence d'intérêt, ainsi que d'affinité pour cet enfant que la recourante ne supportait pas, la voyant comme un frein à l'épanouissement de son couple, et qui était à l'origine de nombreuses tensions, ainsi que de disputes - ne pouvait être évacué; l'un de ceux attribués, par la recourante, au père de l'enfant - réveil impromptu par les cris de l'enfant qui l'aurait fait sortir de ses gongs - entrait également en considération en ce qui la concernait. Les juges cantonaux ont relevé que son ADN avait été retrouvé sur le pyjama de l'enfant alors qu'elle ne l'avait pas habillée pour la nuit, ainsi que sur le coussin qui se trouvait dans le lit de l'enfant. L'autorité précédente a encore mentionné que rien dans les extraits des enregistrements retranscrits dans le recours cantonal ne la disculperait ou réduirait les soupçons à son encontre à une portion congrue (cf. consid. 2.4).</w:t>
      </w:r>
    </w:p>
    <w:p>
      <w:r>
        <w:t>La Chambre pénale a ensuite indiqué que l'existence de soupçons envers le père de l'enfant n'aboutirait pas à exclure l'implication de la recourante, relevant de plus que les éléments mis en avant à cet égard par cette dernière ne rendaient pas sa propre implication très peu probable (cf. consid. 2.5).</w:t>
      </w:r>
    </w:p>
    <w:p>
      <w:r>
        <w:t>S'agissant de la découverte d'une trace de liquide séminal provenant du père de l'enfant sur la face arrière de la tache du pull, ainsi que sur le pantalon que portait l'enfant durant la nuit du 10 au 11 novembre 2018 (cf. les rapports du Centre universitaire romand de médecine légal ([CURML] des 8 février et 4 mars 2019), l'autorité précédente a relevé que des spermatozoïdes avaient également été trouvés sur la ceinture du pantalon que portait le père lorsqu'il avait découvert le corps sans vie de l'enfant le dimanche matin. Quant à la thèse avancée par la recourante - à savoir en substance que cette trace de sperme altéré n'aurait pas pu être déposée au moment de la découverte du corps (10h30), mais devait avoir été transférée préalablement (entre 03h00 et 07h00) puisque le sperme se trouvant sur la ceinture était inaltéré -, la juridiction précédente a estimé que cette hypothèse ne pouvait être considérée, en tous les cas jusqu'au dépôt du rapport du Commissariat d'identification judiciaire (CIJ), comme suffisamment sûre pour permettre d'écarter les soupçons pesant à l'encontre de la recourante. La cour cantonale a de plus relevé qu'en l'état, aucun rapport ne permettait de considérer que la présence de sperme inaltéré sur la ceinture impliquait que le sperme dégradé ait été déposé sur l'habit de l'enfant préalablement à la découverte du corps (cf. consid. 2.6).</w:t>
      </w:r>
    </w:p>
    <w:p>
      <w:r>
        <w:rPr>
          <w:b/>
        </w:rPr>
        <w:t>E. 3.4</w:t>
      </w:r>
    </w:p>
    <w:p>
      <w:r>
        <w:t>Ce raisonnement ne prête pas le flanc à la critique et la recourante ne développe aucune argumentation permettant de le remettre en cause.</w:t>
      </w:r>
    </w:p>
    <w:p>
      <w:r>
        <w:t>En particulier, l'examen effectué n'apparaît pas arbitraire du seul fait que la recourante entend substituer sa propre appréciation des faits à celle effectuée par l'autorité précédente (cf. en particulier ad 12 ss p. 5 ss du recours); cela vaut d'autant plus que la recourante se fonde essentiellement sur les déclarations qu'elle a elle-même tenues au cours de l'instruction (cf. pour des exemples ad 16.3.2, 16.3.3 et 16.4.6 du mémoire de recours). En tout état de cause, la recourante ne conteste pas avoir été seule pendant plusieurs heures avec la petite fille dans la nuit du 10 au 11 novembre 2018 (22h00-03h00; cf. ad 13.1 et 13.5 p. 5 du recours et ad 13 p. 3 des observations du 30 septembre 2019); avoir répondu à un message téléphonique vers 02h42 (cf. ad 14.3 p. 5 de cette même écriture); et s'être disputée à plusieurs reprises avec son compagnon à propos de sa fille, peu importe d'ailleurs que le comportement de celle-ci ou du premier ait été le motif initial de leurs altercations (cf. notamment ad 16.3.2 et 16.4 p. 6 ss du mémoire). Enfin, l'ADN de la recourante a été retrouvé sur le pyjama de l'enfant alors qu'elle ne l'avait pas préparée pour la nuit, ainsi que sur le coussin se trouvant dans la chambre de celle-ci. Étant établi que le décès ne résulte pas d'un accident et que l'intervention de tiers - sous réserve éventuellement du père de l'enfant - a pu être écartée, ces circonstances (recourante seule avec l'enfant et réveillée pendant des heures entrant dans la période retenue pour fixer l'heure du décès [23h00-07h00]) permettent de fonder de forts soupçons à l'encontre de la recourante.</w:t>
      </w:r>
    </w:p>
    <w:p>
      <w:r>
        <w:t>Eu égard aux informations encore attendues du CIJ au jour de l'arrêt attaqué (voir également le courrier - ultérieur à l'arrêt attaqué - du 30 août 2019 du Ministère public adressé au CURML), il n'y avait pas lieu alors de se prononcer - dans la mesure au demeurant où une telle appréciation entrerait dans la compétence du juge de la détention - sur les hypothèses émises par la recourante s'agissant des traces de son ADN retrouvées sur l'enfant, soit qu'elles ne résulteraient pas d'un transfert direct de sa part, mais auraient été déposées par le biais du père de l'enfant (cf. a priori les places similaires où les deux ADN ont été retrouvés). Cela étant, vu les heures entrant en considération dans le cas d'espèce (celle de retour du père [03h00] et la période supposée du décès [23h00-07h00]), la présence incontestée de la recourante dans la maison durant la nuit et le mobile retenu en l'état, une éventuelle mise en cause du père de l'enfant - qui pourrait notamment découler, selon la recourante, des traces ADN du père retrouvées sous les ongles de l'enfant et à l'intérieur du pull de celle-ci - ne permet pas encore d'exclure toute implication de la recourante.</w:t>
      </w:r>
    </w:p>
    <w:p>
      <w:r>
        <w:t>Partant, la Chambre pénale n'a pas violé le droit fédéral en retenant l'existence de soupçons suffisants de la commission d'une infraction à l'encontre de la recourante.</w:t>
      </w:r>
    </w:p>
    <w:p>
      <w:r>
        <w:rPr>
          <w:b/>
        </w:rPr>
        <w:t>E. 4</w:t>
      </w:r>
    </w:p>
    <w:p>
      <w:r>
        <w:t>La recourante reproche ensuite à l'autorité précédente d'avoir retenu un risque de fuite, respectivement d'avoir considéré qu'il n'existait aucune mesure de substitution propre à le pallier.</w:t>
      </w:r>
    </w:p>
    <w:p>
      <w:r>
        <w:rPr>
          <w:b/>
        </w:rPr>
        <w:t>E. 4.1</w:t>
      </w:r>
    </w:p>
    <w:p>
      <w:r>
        <w:t>Conformément à l' art. 221 al. 1 let. a CPP , la détention provisoire et la détention pour des motifs de sûreté peuvent être ordonnées s'il y a sérieusement lieu de craindre que le prévenu se soustraie à la procédure pénale ou à la sanction prévisible en prenant la fuite.</w:t>
      </w:r>
    </w:p>
    <w:p>
      <w:r>
        <w:t>Selon la jurisprudence, le risque de fuite au sens de la disposition susmentionnée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125 I 60 consid. 3a p. 62; 117 Ia 69 consid. 4a p. 70). Le fait que le risque de fuite puisse se réaliser dans un pays qui pourrait donner suite à une requête d'extradition de la Suisse n'est pas déterminant ( ATF 123 I 31 consid. 3d p. 36 s.; arrêts 1B_354/2019 du 12 août 2019 consid. 2.1; 1B_322/2017 du 24 août 2017 consid. 3.1 non publié in ATF 143 IV 330 ). La gravité de l'infraction ne peut pas, à elle seule, justifier la prolongation de la détention, même si elle permet souvent de présumer un danger de fuite en raison de l'importance de la peine dont le prévenu est menacé ( ATF 143 IV 160 consid. 4.3 p. 167).</w:t>
      </w:r>
    </w:p>
    <w:p>
      <w:r>
        <w:rPr>
          <w:b/>
        </w:rPr>
        <w:t>E. 4.2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Cette liste est exemplative et le juge de la détention peut également, le cas échéant, assortir les mesures de substitution de toute condition propre à en garantir l'efficacité ( ATF 142 IV 367 consid. 2.1 p. 370). S'agissant du port d'un bracelet électronique, cette mesure ne permet généralement qu'un contrôle rétroactif, n'ayant ainsi qu'un effet préventif faible lorsque le prévenu présente notamment un risque de fuite; cet effet serait assurément plus intense si le contrôle était mis en oeuvre en temps réel (JASMINE STÖSSEL, Electronic Monitoring im Schweizer Erwachsenenstrafrecht, Zurich 2018, p. 224 s.; FABIO MANFRIN, Ersatzmassnahmenrecht nach Schweizerischer Strafprozessordnung, Zurich 2014, p. 278 s.). Son adéquation doit être évaluée en fonction de toutes les circonstances d'espèce, en particulier l'intensité du risque de fuite, la gravité des infractions examinées, la nécessité de garantir la présence des parties dans la procédure et la durée de la détention provisoire et pour des motifs de sûreté.</w:t>
      </w:r>
    </w:p>
    <w:p>
      <w:r>
        <w:t>Selon l' art. 237 al. 5 CPP ,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 art. 237 al. 5 CPP (arrêt 1B_312/2019 du 10 juillet 2019 consid. 2.1 et les références citées).</w:t>
      </w:r>
    </w:p>
    <w:p>
      <w:r>
        <w:rPr>
          <w:b/>
        </w:rPr>
        <w:t>E. 4.3</w:t>
      </w:r>
    </w:p>
    <w:p>
      <w:r>
        <w:t>En se référant à sa décision du 31 mai 2019, la Chambre pénale a fait état de la peine privative de liberté de plusieurs années encourue par la recourante. La juridiction précédente a toutefois constaté que la recourante ne disposait que de la nationalité suisse et que toute sa famille résidait dans ce pays; la recourante avait cependant un "attrait permanent, voire obsessionnel, pour le voyage à l'étranger" et avait tissé de solides liens au Canada lors de son séjour de trois ou quatre mois en 2016 en tant que jeune fille au pair; certes, elle ne pourrait en principe pas obtenir de papiers d'identité auprès d'autorités étrangères et devrait donc vivre dans la clandestinité, ce qui n'était toutefois pas impossible pour une personne âgée de 24 ans, en bonne santé et sachant se gérer. L'autorité précédente a encore retenu que la recourante avait tout perdu depuis son placement en détention (travail, logement et vie amoureuse). Selon la cour cantonale, le soutien d'une partie de sa famille et la promesse d'un engagement dans une boutique de X.________ ne permettaient pas d'avoir une appréciation différente s'agissant du risque que la recourante ne veuille se soustraire à la procédure pénale ouverte à son encontre. La Chambre pénale a encore estimé qu'en présence d'une infraction aussi grave que celle examinée, il convenait de s'assurer que la personne soupçonnée soit présente à son procès et, le cas échéant, subisse la sanction qui pourrait lui être infligée. L'autorité précédente a donc retenu que, dans une telle situation, une prévenue jeune, en bonne santé et avec un souhait de partir voir le monde ne présentait pas les garanties nécessaires pour que la détention provisoire soit levée.</w:t>
      </w:r>
    </w:p>
    <w:p>
      <w:r>
        <w:t>La cour cantonale a ensuite considéré que ce risque de fuite ne pouvait pas être pallié par le dépôt des papiers d'identité, même combiné au port d'un bracelet électronique; cette dernière mesure ne permettait de plus que de contrôler l'exécution de la mesure de contrainte, sans être apte à prévenir le risque de fuite existant.</w:t>
      </w:r>
    </w:p>
    <w:p>
      <w:r>
        <w:rPr>
          <w:b/>
        </w:rPr>
        <w:t>E. 4.4</w:t>
      </w:r>
    </w:p>
    <w:p>
      <w:r>
        <w:t>Ce raisonnement peut être confirmé. En particulier, il doit être pris en considération que les faits reprochés à la recourante sont extrêmement graves et qu'une lourde peine privative de liberté pourrait être ordonnée à son encontre si elle devait être renvoyée en jugement, puis reconnue coupable pour ces faits. Si les difficultés d'une vie dans la clandestinité pour une personne d'un certain âge avec une santé précaire peuvent constituer un frein au passage à l'acte (arrêt 1B_75/2019 du 7 mars 2019 consid. 2.3), la recourante, âgée de 24 ans, en bonne santé et a priori apte à ce jour à se prendre en charge, ne se trouve pas dans une situation similaire, ce qui impose une appréciation différente des circonstances. Vu ces dernières dans le cas d'espèce (rupture sentimentale, perte de son emploi, ainsi que de son logement, graves faits reprochés) et les perspectives d'avenir (possibilité d'une lourde peine privative de liberté), les attaches dont la recourante se prévaut en Suisse (famille, promesse d'emploi) sont effectivement insuffisantes pour garantir sa présence au cours de l'instruction et, en cas de renvoi en jugement, aux débats.</w:t>
      </w:r>
    </w:p>
    <w:p>
      <w:r>
        <w:t>Il en va de même des mesures de substitution proposées. Si le défaut de papiers d'identité complique certainement un départ pour les États-Unis d'Amérique ou le Canada, cela n'empêche en revanche pas le passage des frontières de la Suisse par le biais d'autres moyens de transport, notamment pour rejoindre les pays limitrophes. Eu égard aux circonstances particulières du cas d'espèce relevées ci-dessus, il en va de même du port d'un bracelet électronique. L'effet - principalement préventif - de cette mesure ne permet pas en l'occurrence d'offrir suffisamment de garantie que la recourante ne se soustraie pas à la procédure pénale ouverte à son encontre pour de lourdes charges.</w:t>
      </w:r>
    </w:p>
    <w:p>
      <w:r>
        <w:rPr>
          <w:b/>
        </w:rPr>
        <w:t>E. 4.5</w:t>
      </w:r>
    </w:p>
    <w:p>
      <w:r>
        <w:t>La recourante ne conteste pas, à juste titre, la durée de la détention provisoire subie eu égard à la peine concrètement encourue ( art. 212 al. 3 CPP ).</w:t>
      </w:r>
    </w:p>
    <w:p>
      <w:r>
        <w:rPr>
          <w:b/>
        </w:rPr>
        <w:t>E. 4.6</w:t>
      </w:r>
    </w:p>
    <w:p>
      <w:r>
        <w:t>Vu le risque de fuite existant et le défaut de mesures de substitution propres à le réduire, la Chambre pénale pouvait, sans violer le droit fédéral, confirmer la prolongation de la détention provisoire de la recourante ordonnée par le Tmc.</w:t>
      </w:r>
    </w:p>
    <w:p>
      <w:r>
        <w:rPr>
          <w:b/>
        </w:rPr>
        <w:t>E. 5</w:t>
      </w:r>
    </w:p>
    <w:p>
      <w:r>
        <w:t>Il s'ensuit que le recours est rejeté.</w:t>
      </w:r>
    </w:p>
    <w:p>
      <w:r>
        <w:t>La recourante a demandé l'octroi de l'assistance judiciaire ( art. 64 al. 1 LTF ). Les conditions y relatives étant réunies, cette requête doit être admise. Il y a donc lieu de désigner Me David Aïoutz en tant qu'avocat d'office de la recourante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