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1B_43/2023 vom 13. Juni 2023</w:t>
      </w:r>
    </w:p>
    <w:p>
      <w:r>
        <w:t>Bundesgericht, 2023-06-13, DE</w:t>
      </w:r>
    </w:p>
    <w:p>
      <w:r>
        <w:rPr>
          <w:b/>
        </w:rPr>
        <w:t xml:space="preserve">Quelle: </w:t>
      </w:r>
      <w:r>
        <w:t>https://mcp.opencaselaw.ch/entscheid/bger_1B_43_2023</w:t>
      </w:r>
    </w:p>
    <w:p>
      <w:r>
        <w:t>FR: TF 1B_43/2023 du 13 juin 2023</w:t>
      </w:r>
    </w:p>
    <w:p>
      <w:r>
        <w:t>IT: TF 1B_43/2023 del 13 giugno 2023</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Der angefochtene Entscheid schliesst das Strafverfahren nicht ab. Er stellt einen Zwischenentscheid dar, der weder die Zuständigkeit noch den Ausstand betrifft. Gemäss Art. 93 Abs. 1 lit. a BGG ist er nur dann unmittelbar mit Beschwerde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t>Der Beschwerdeführer macht geltend, durch den angefochtenen Entscheid drohe eine Verletzung seines Rechts auf Privatsphäre bzw. informationeller Selbstbestimmung gemäss Art. 13 BV . Nach der Rechtsprechung droht dem Beschwerdeführer damit ein nicht wieder gutzumachender Nachteil rechtlicher Natur (siehe Urteile 1B_112/2019 vom 15. Oktober 2019 E. 1.2; 1B_245/2015 vom 12. April 2016 E. 1).</w:t>
      </w:r>
    </w:p>
    <w:p>
      <w:r>
        <w:t>Da auch die übrigen Sachurteilsvoraussetzungen erfüllt sind, ist auf die Beschwerde grundsätzlich einzutreten.</w:t>
      </w:r>
    </w:p>
    <w:p>
      <w:r>
        <w:rPr>
          <w:b/>
        </w:rPr>
        <w:t>E. 2.1</w:t>
      </w:r>
    </w:p>
    <w:p>
      <w:r>
        <w:t>Die Parteien haben Anspruch auf rechtliches Gehör ( Art. 29 Abs. 2 BV und Art. 6 Ziff. 1 EMRK ). Dieser Anspruch wird für den Strafprozess in Art. 3 Abs. 2 lit. c und Art. 107 Abs. 1 StPO wiederholt. Gemäss Art. 108 Abs. 1 StPO können die Strafbehörden das rechtliche Gehör einschränken, wenn der begründete Verdacht besteht, dass eine Partei ihre Rechte missbraucht (lit. a); oder dies für die Sicherheit von Personen oder zur Wahrung öffentlicher oder privater Geheimhaltungsinteressen erforderlich ist (lit. b). Einschränkungen gegenüber Rechtsbeiständen sind dabei nur zulässig, wenn der Rechtsbeistand selbst Anlass für die Beschränkung gibt (Abs. 2). Die Einschränkungen sind zu befristen oder auf einzelne Verfahrenshandlungen zu begrenzen (Abs. 3).</w:t>
      </w:r>
    </w:p>
    <w:p>
      <w:r>
        <w:t>Der Anspruch auf rechtliches Gehör umfasst insbesondere das Recht, sämtliche verfahrensbezogenen Akten einzusehen, die geeignet sind, Grundlage des Entscheids zu bilden (sog. Akteneinsichtsrecht, vgl. Art. 107 Abs. 1 lit. a StPO ; vgl. BGE 144 II 427 E. 3.1; Urteil 6B_1238/2022 vom 21. Dezember 2022 E. 3.4.3; je mit Hinweis). Nach Art. 102 Abs. 1 StPO entscheidet die Verfahrensleitung über die Akteneinsicht; sie trifft dabei die erforderlichen Massnahmen, um Missbräuche und Verzögerungen zu verhindern und berechtigte Geheimhaltungsinteressen zu schützen. Diese Bestimmung stellt einen besonderen Anwendungsfall der in Art. 108 StPO vorgesehenen Einschränkungen des rechtliches Gehörs dar (JOËLLE FONTANA, in: Commentaire Romand, Code de procédure pénale suisse, 2. Aufl. 2019, N. 1 zu Art. 102 StPO ). Bei der Einschränkung des Akteneinsichtsrechts kommt den Strafbehörden ein gewisses Ermessen zu (Urteil 1B_350/2020 vom 28. Mai 2021 E. 6.3; vgl. auch Urteile 1B_601/2021, 1B_602/2021, 1B_603/2021 vom 6. September 2022 E. 3.2.1). Die Massnahmen sind jedoch mit Zurückhaltung und unter Wahrung des Grundsatzes der Verhältnismässigkeit anzuordnen ( BGE 146 IV 218 E. 3.1.2 mit Hinweisen).</w:t>
      </w:r>
    </w:p>
    <w:p>
      <w:r>
        <w:t>Gemäss Art. 73 Abs. 2 StPO kann die Verfahrensleitung die Privatklägerschaft und andere Verfahrensbeteiligte und deren Rechtsbeistände unter Hinweis auf Art. 292 StGB (Ungehorsam gegen amtliche Verfügungen) verpflichten, über das Verfahren und die davon betroffenen Personen Stillschweigen zu bewahren, wenn der Zweck des Verfahrens oder ein privates Interesse es erfordert. Die Verpflichtung ist zu befristen. Eine solche Stillschweigeverpflichtung stellt einen Eingriff in die Meinungsfreiheit dar und ist nur mit Zurückhaltung und aus wichtigen Gründen anzuordnen - etwa um eine Einflussnahme auf die Strafuntersuchung zu verhindern oder wegen drohender Persönlichkeitsverletzung einer Partei (Urteil 1B_435/2019 vom 16. Januar 2020 E. 3.1 mit Hinweisen).</w:t>
      </w:r>
    </w:p>
    <w:p>
      <w:r>
        <w:rPr>
          <w:b/>
        </w:rPr>
        <w:t>E. 2.2</w:t>
      </w:r>
    </w:p>
    <w:p>
      <w:r>
        <w:t>Die Vorinstanz erwägt im angefochtenen Entscheid, der Beschwerdeführer habe keine konkreten Geheimhaltungsinteressen, wie etwa schützenswerte Geschäftsgeheimnisse, dargetan. Auch bestünden weder Anhaltspunkte für eine missbräuchliche Ausübungen des Akteneinsichtsrechts seitens der Beschwerdegegnerinnen oder ihres Rechtsbeistandes noch für eine "irgendwie geartete Gefährdung des Verfahrenszwecks". Es liessen sich insbesondere keine Hinweise dafür finden, dass die Privatklägerschaft oder ihr Rechtsbeistand unbeteiligten Drittpersonen Einblick in die Akten des Strafverfahrens gewährt hätte. Der Beschwerdeführer habe keinen Anspruch auf Schutz vor weiteren Strafanzeigen. Das Strafverfahren verfolge den Zweck, Straftaten aufzudecken und geschädigten Personen mit dem Instrument der Adhäsionsklage die Geltendmachung ihrer zivilrechtlichen Ansprüche zu erleichtern. Die Auferlegung einer Schweigepflicht nach Art. 73 Abs. 2 StPO würde diesem Ziel zuwiderlaufen. Der Beschwerdeführer habe dabei hinzunehmen, dass ehemalige Kunden, die seinem Freundes- und Bekanntenkreis angehörten, vom laufenden Strafverfahren Kenntnis erlangten.</w:t>
      </w:r>
    </w:p>
    <w:p>
      <w:r>
        <w:rPr>
          <w:b/>
        </w:rPr>
        <w:t>E. 2.3</w:t>
      </w:r>
    </w:p>
    <w:p>
      <w:r>
        <w:t>Der Beschwerdeführer macht geltend, entgegen der Auffassung der Vorinstanz habe er seine Geheimhaltungsinteressen hinreichend substanziiert. So habe er in seiner kantonalen Beschwerde erklärt, dass die Daten seines E-Mail-Kontos Informationen zu seinem Privat- und Geheimbereich enthielten, etwa betreffend seine Scheidung von seiner ersten Ehefrau oder betreffend seine Nachlassplanung. Auch das Gutachten von E.________ vom 21. Februar 2022 beweise, dass sich nach wie vor Anwaltskorrespondenz und rein private Daten von ihm unter den Akten befänden, darunter etwa Korrespondenz mit Ärzten und Spitälern. Im Übrigen stelle die Vorinstanz "überhöhte Substanziierungsanforderungen" an ihn. Angesichts der umfangreichen Akten sei es ihm nicht möglich, für konkrete Dokumente die jeweils betroffenen Geheimhaltungsinteressen einzeln darzulegen. Auch sei die Annahme, diese umfangreichen Akten enthielten keinerlei mit berechtigten Geheimhaltungsinteressen beschlagene Dokumente, schlichtweg "lebensfremd". Die Vorinstanz habe somit zu Unrecht nicht geprüft, ob zum Schutz seiner berechtigten Geheimhaltungsinteressen Massnahmen nach Art. 102 Abs. 1 StPO anzuordnen seien.</w:t>
      </w:r>
    </w:p>
    <w:p>
      <w:r>
        <w:t>Er führt weiter aus, er beantrage zwar keine "materielle Beschränkung" des Akteneinsichtsrechts im Sinne von Art. 108 Abs. 1 StPO . Das von ihm beantragte Kopierverbot könne aber auch gestützt auf Art. 108 Abs. 1 lit. b StPO ausgesprochen werden. So sei in der Praxis ein solches schon für einen Rechtsbeistand ausgesprochen worden, wenn diesem Einsicht in besonders sensible Informationen gewährt worden sei. Im vorliegenden Fall habe dies für die nicht verfahrensrelevanten Dokumente zu gelten, die sich unter den Verfahrensakten befänden.</w:t>
      </w:r>
    </w:p>
    <w:p>
      <w:r>
        <w:t>Schliesslich rügt er auch eine Verletzung von Art. 73 Abs. 2 StPO . Er wolle keine weiteren Strafanzeigen verhindern, wie die Vorinstanz zu Unrecht erwäge, sondern vielmehr dafür sorgen, dass keine verfahrensrelevanten Akten potenziellen Zeugen, wie etwa dem neuen Anzeigeerstatter F.________, gezeigt würden, bevor sie selbst einvernommen werden. F.________ werde ebenfalls vom Rechtsvertreter der Beschwerdegegnerinnen vertreten, wodurch ein Risiko bestehe, dass er "frühzeitig" Kenntnis von Verfahrensakten erhalte und gestützt darauf verfälschte Aussagen machen werde.</w:t>
      </w:r>
    </w:p>
    <w:p>
      <w:r>
        <w:rPr>
          <w:b/>
        </w:rPr>
        <w:t>E. 2.4</w:t>
      </w:r>
    </w:p>
    <w:p>
      <w:r>
        <w:t>Der Argumentation des Beschwerdeführers kann nicht gefolgt werden: Wie die Beschwerdegegnerinnen 1 und 2 in ihrer Vernehmlassung zu Recht geltend machen, wird der Geheimnisschutz grundsätzlich über das Instrument der Siegelung gewährleistet. Der Beschwerdeführer hat eine solche nicht verlangt und somit keine rechtlich geschützten Geheimnisinteressen an den Geschäftsunterlagen geltend gemacht (vgl. Urteil 1B_599/2019 vom 22. Juli 2020 E. 1.3). Der Beschwerdeführer vermag mit seinen Ausführungen nicht zu belegen, dass die Vorinstanz Bundesrecht verletzt hätte, indem sie davon ausgeht, er habe keine konkreten Geheimhaltungsinteressen dargetan. Zu beachten ist ausserdem, dass er offenbar nicht bereit ist, angesichts des grossen Umfangs der Strafakten die angeblich verfahrensirrelevanten, geheimnisgeschützten Dokumente konkret zu benennen. Unter diesen Umständen scheint die beantragte Kopierbeschränkung von vornherein kaum umsetzbar. Schliesslich gehen aus dem von der Vorinstanz festgestellten Sachverhalt keine Hinweise für einen Missbrauch des Akteneinsichtsrechts durch die Beschwerdegegner oder ein sonstige Gefährdung der Ziele der Strafuntersuchung hervor. Die Beschwerde geht somit auch in diesem Punkt fehl. Bei dieser Sachlage ist nicht zu beanstanden, dass die Staatsanwaltschaft und die Vorinstanz das Interesse der Privatklägerschaft an der uneingeschränkten Wahrnehmung ihres Akteneinsichtsrechts (und auch das Interesse der Staatsanwaltschaft an einer prozessökonomischen Gewährung des Akteneinsichtsrechts) über die vom Beschwerdeführer unzureichend substanzi ierten Geheimnisinteressen gestellt hat. Die behaupteten Rechtsverletzungen liegen nicht vor.</w:t>
      </w:r>
    </w:p>
    <w:p>
      <w:r>
        <w:rPr>
          <w:b/>
        </w:rPr>
        <w:t>E. 3</w:t>
      </w:r>
    </w:p>
    <w:p>
      <w:r>
        <w:t>Die Beschwerde ist abzuweisen.</w:t>
      </w:r>
    </w:p>
    <w:p>
      <w:r>
        <w:t>Bei diesem Ausgang des Verfahrens sind die Gerichtskosten dem unterliegenden Beschwerdeführer aufzuerlegen ( Art. 66 Abs. 1 BGG ). Er hat den obsiegenden, anwaltlich vertretenen Beschwerdegegnerinnen und dem obsiegenden,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