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437/2016 vom 5. Dezember 2016</w:t>
      </w:r>
    </w:p>
    <w:p>
      <w:r>
        <w:t>Bundesgericht, 2016-12-05, DE</w:t>
      </w:r>
    </w:p>
    <w:p>
      <w:r>
        <w:rPr>
          <w:b/>
        </w:rPr>
        <w:t xml:space="preserve">Quelle: </w:t>
      </w:r>
      <w:r>
        <w:t>https://mcp.opencaselaw.ch/entscheid/bger_1B_437_2016</w:t>
      </w:r>
    </w:p>
    <w:p>
      <w:r>
        <w:t>FR: TF 1B 437/2016 du 5 décembre 2016</w:t>
      </w:r>
    </w:p>
    <w:p>
      <w:r>
        <w:t>IT: TF 1B 437/2016 del 5 dicembre 2016</w:t>
      </w:r>
    </w:p>
    <w:p>
      <w:pPr>
        <w:pStyle w:val="Heading2"/>
      </w:pPr>
      <w:r>
        <w:t>Regeste</w:t>
      </w:r>
    </w:p>
    <w:p>
      <w:r>
        <w:t>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Wiederholungsgefahr besteht ( Art. 221 Abs. 1 StPO ).</w:t>
      </w:r>
    </w:p>
    <w:p>
      <w:r>
        <w:rPr>
          <w:b/>
        </w:rPr>
        <w:t>E. 2.1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ungünstig ausfallen (Zusammenfassung der Rechtsprechung im zur Publikation bestimmten Urteil 1B_373/2016 E. 2), und zwar in Bezug auf Delikte, die "die Sicherheit anderer erheblich" gefährden. Darunter fallen in erster Linie Gewalt-, aber auch schwere Betäubungsmitteldelikte ( BGE 137 IV 84 nicht publ. E. 3.7), die unmittelbar gegen die psychische und physische Integrität ihrer Opfer gerichtet sind und damit deren Sicherheit beeinträchtigen können. Vermögensdelikte sind dagegen zwar - unter Umständen in hohem Mass - sozialschädlich, betreffen aber oft nicht unmittelbar die Sicherheit der Geschädigten. Anders kann es sich insbesondere bei besonders schweren Vermögensdelikten verhalten (vgl. Urteil 1B_379/2011 vom 2. August 2011 E. 2.6-2.9). Die Anwendung von Art. 221 Abs. 1 lit. c StPO über den Wortlaut hinaus muss allerdings auch in dieser Beziehung restriktiv gehandhabt werden; sie fällt nur bei schweren, die Betroffenen besonders hart treffenden Vermögensdelikten in Betracht (Urteil 1B_247/2016 vom 27. Juli 2016 E. 2).</w:t>
      </w:r>
    </w:p>
    <w:p>
      <w:r>
        <w:rPr>
          <w:b/>
        </w:rPr>
        <w:t>E. 2.2</w:t>
      </w:r>
    </w:p>
    <w:p>
      <w:r>
        <w:t>Unbestritten ist der Beschwerdeführer dringend verdächtig, am 30. August 2016 einen Ladendiebstahl mit einem Deliktsbetrag von 12 Franken begangen zu haben. Dies stellt nach der Rechtsprechung eine Übertretung dar, da der Deliktsbetrag 300 Franken nicht übersteigt (Art. 139 Ziff. 1 i.V.m. Art. 172 ter Abs. 1 und Art. 103; BGE 142 IV 129 E. 3.1; 123 IV 113 E. 3d; 121 IV 261 E. 2d). Der dringende Tatverdacht besteht indessen auch in Bezug auf den Vorfall vom 28. August 2016. Der Beschwerdeführer wurde vom Koch, der ihn in der Personalgarderobe angetroffen hatte, wiedererkannt, und am Sparschwein wurden zweifelsfrei dem Beschwerdeführer zuzuordnende Spuren sichergestellt. Fraglich ist nur, auf welche Straftat sich dieser Verdacht bezieht. Objektiv handelt es sich dabei um den Diebstahl eines geringfügigen Vermögenswerts (Portemonnaie mit 8 Euro Inhalt) und den Versuch eines Diebstahls eines geringfügigen Vermögenswerts (Sparschwein mit rund 100 Franken) sowie allenfalls Hausfriedensbruch. Für die Staatsanwaltschaft und das Obergericht bezieht sich der Tatverdacht dennoch auf ein Verbrechen (Diebstahl) und ein Vergehen (Hausfriedensbruch), da sich nach ihrer Auffassung der deliktische Wille des Beschwerdeführers auf einen höheren, nach oben offenen Deliktsbetrag bezog, da er gewillt gewesen sei, sich alle in der Personalgarderobe befindlichen Vermögenswerte anzueignen. Entscheidend für die Anwendbarkeit von Art. 172ter StGB ist die Absicht des Täters, nicht der eingetretene Erfolg; die Bestimmung ist nur anwendbar, wenn der Täter von vornherein bloss einen geringen Vermögenswert im Auge hatte ( BGE 123 IV 113 E. 3f; 155 E. 1a; 122 IV 156 E. 2a). Die Auffassung der kantonalen Instanzen erscheint daher nicht von vornherein als unplausibel, wenn auch auf der andern Seite der Beschwerdeführer wohl nicht ernsthaft damit rechnen konnte, in der Personalgarderobe bzw. im Trinkgelder-Sparschwein des Personals hohe Geldbeträge zu finden. Die Qualifikation des Vorfalls kann indessen dem Sachgericht überlassen werden. So oder so geht es - wie sich aus den Akten ergibt - um einen typischen Fall von Klein- bzw. Beschaffungskriminalität eines randständigen, psychisch angeschlagenen, seit Jahren immer wieder straffällig gewordenen, notorischen Drogenkonsumenten.</w:t>
      </w:r>
    </w:p>
    <w:p>
      <w:r>
        <w:rPr>
          <w:b/>
        </w:rPr>
        <w:t>E. 2.3</w:t>
      </w:r>
    </w:p>
    <w:p>
      <w:r>
        <w:t>Wie unter E. 2.1 dargelegt, fällt die Annahme von Wiederholungsgefahr in erster Linie bei Gewalt- und schweren Betäubungsmitteldelikten in Betracht, bei Vermögens- und Eigentumsdelikten dagegen nur in besonderen Fällen, die die Betroffenen besonders hart treffen. Diese Voraussetzungen sind vorliegend offensichtlich nicht erfüllt. Die Beschwerde ist begründet. Wie sich aus der Vernehmlassung der Staatsanwaltschaft ergibt, hält sie den Beschwerdeführer indessen - unabhängig vom vorliegenden Verfahren - für gemeingefährlich. Sie hat deshalb versucht, die am 13. Juli 2015 abgelaufene 2½-jährige Freiheitsstrafe gestützt auf Art. 363 ff. StGB in eine stationäre Massnahme umzuwandeln. Sie ist mit diesem Antrag vor Bezirksgericht gescheitert, aber vor Obergericht durchgedrungen. Dessen Entscheid hat das Bundesgericht am 13. Juni 2016 (zur Veröffentlichung bestimmtes Urteil 6B_171/2016) aufgehoben, worauf der Beschwerdeführer freikam. Auch wenn sich seither Neues ergeben hat, fällt ausser Betracht, den Beschwerdeführer durch eine vom Untersuchungszweck bzw. von den entsprechenden Haftvoraussetzungen nicht gedeckte Anordnung in Haft zu nehmen. Ob im vorliegenden Strafverfahren die Anordnung einer stationäre Massnahme angezeigt ist, wie sie die Staatsanwaltschaft offenbar beantragen will, wird das Sachgericht zu entscheiden haben.</w:t>
      </w:r>
    </w:p>
    <w:p>
      <w:r>
        <w:rPr>
          <w:b/>
        </w:rPr>
        <w:t>E. 3</w:t>
      </w:r>
    </w:p>
    <w:p>
      <w:r>
        <w:t>Die Beschwerde ist damit gutzuheissen, der angefochtene Entscheid aufzuheben und der Beschwerdeführer aus der Haft zu entlassen. Bei diesem Ausgang des Verfahrens sind keine Kosten zu erheben ( Art. 66 Abs. 4 BGG ), und der Kanton Aargau hat dem Beschwerdeführer eine angemessene Parteientschädigung zu bezahlen ( Art. 68 Abs.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