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1B_436/2022 vom 27. September 2022</w:t>
      </w:r>
    </w:p>
    <w:p>
      <w:r>
        <w:t>Bundesgericht, 2022-09-27, DE</w:t>
      </w:r>
    </w:p>
    <w:p>
      <w:r>
        <w:rPr>
          <w:b/>
        </w:rPr>
        <w:t xml:space="preserve">Quelle: </w:t>
      </w:r>
      <w:r>
        <w:t>https://mcp.opencaselaw.ch/entscheid/bger_1B_436_2022</w:t>
      </w:r>
    </w:p>
    <w:p>
      <w:r>
        <w:t>FR: TF 1B_436/2022 du 27 septembre 2022</w:t>
      </w:r>
    </w:p>
    <w:p>
      <w:r>
        <w:t>IT: TF 1B_436/2022 del 27 settembre 2022</w:t>
      </w:r>
    </w:p>
    <w:p>
      <w:pPr>
        <w:pStyle w:val="Heading2"/>
      </w:pPr>
      <w:r>
        <w:t>Erwägungen</w:t>
      </w:r>
    </w:p>
    <w:p>
      <w:r>
        <w:rPr>
          <w:b/>
        </w:rPr>
        <w:t>E. 1</w:t>
      </w:r>
    </w:p>
    <w:p>
      <w:r>
        <w:t>Mit Beschluss vom 20. Juli 2022 ist das Obergericht des Kantons Bern auf ein Ausstandsgesuch von A.________ gegen Staatsanwalt Jaggi nicht eingetreten mit der Begründung, es erschöpfe sich in pauschaler Kritik an Staatsanwalt Jaggi und genüge damit den dem Gesuchsteller hinlänglich bekannten formellen Anforderungen an die Begründung eines Ausstandsgesuches nicht.</w:t>
      </w:r>
    </w:p>
    <w:p>
      <w:r>
        <w:t>Mit "vertraulicher" Eingabe vom 19. August 2022 erhebt A.________ Beschwerde gegen diesen Beschluss mit dem sinngemässen Antrag, ihn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Gegenstand des Verfahrens kann einzig sein, ob der angefochtene, unter dem Kammerpräsidenten Bähler ergangene Beschluss Bundesrecht verletzt oder nicht. Damit setzt sich der Beschwerdeführer indessen nicht auseinander, seine Beschwerde erschöpft sich in weitschweifigen Ausführungen über die befangenen Justizorgane im allgemeinen und Oberrichter Bähler im besonderen. Auf die Beschwerde ist wegen Verletzung der gesetzlichen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