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1B_436/2019 vom 24. Oktober 2019</w:t>
      </w:r>
    </w:p>
    <w:p>
      <w:r>
        <w:t>Bundesgericht, 2019-10-24, FR</w:t>
      </w:r>
    </w:p>
    <w:p>
      <w:r>
        <w:rPr>
          <w:b/>
        </w:rPr>
        <w:t xml:space="preserve">Quelle: </w:t>
      </w:r>
      <w:r>
        <w:t>https://mcp.opencaselaw.ch/entscheid/bger_1B_436_2019</w:t>
      </w:r>
    </w:p>
    <w:p>
      <w:r>
        <w:t>FR: TF 1B_436/2019 du 24 octobre 2019</w:t>
      </w:r>
    </w:p>
    <w:p>
      <w:r>
        <w:t>IT: TF 1B_436/2019 del 24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sa compétence ( art. 29 al. 1 LTF ) et contrôle librement la recevabilité des recours qui lui sont soumis ( ATF 143 IV 357 consid. 1 p. 358).</w:t>
      </w:r>
    </w:p>
    <w:p>
      <w:r>
        <w:rPr>
          <w:b/>
        </w:rPr>
        <w:t>E. 1.1</w:t>
      </w:r>
    </w:p>
    <w:p>
      <w:r>
        <w:t>L'arrêt attaqué - qui confirme la disjonction des causes MPG__1 et MPG__2 ordonnée par le Ministère public - a été rendu par une autorité cantonale statuant en tant que dernière instance cantonale ( art. 80 al. 1 LTF ) dans le cadre d'une procédure pénale. Le recourant, destinataire de la décision attaquée, a un intérêt juridiquement protégé à obtenir la modification de la décision attaquée (art. 81 al. 1 let. a et b ch. 1 LTF). Le recours a en outre été déposé en temps utile (art. 46 al. 1 let. b et 100 al. 1 LTF) et la voie du recours en matière pénale est donc en principe ouverte ( art. 78 ss LTF ).</w:t>
      </w:r>
    </w:p>
    <w:p>
      <w:r>
        <w:rPr>
          <w:b/>
        </w:rPr>
        <w:t>E. 1.2</w:t>
      </w:r>
    </w:p>
    <w:p>
      <w:r>
        <w:t>S'agissant d'une décision ne mettant pas un terme à la procédure pénale, elle revêt un caractère incident et le recours n'est recevable qu'aux conditions de l' art. 93 al. 1 let. a LTF ; les hypothèses prévues aux art. 92 et 93 al. 1 let. b LTF n'entrant pas en considération dans le cas d'espèce (sur l'éventuelle application de l' art. 92 LTF en cas de disjonction, voir ATF 145 IV 228 consid. 1 p. 230 s.; arrêt 1B_230/2019 du 8 octobre 2019 consid. 1.4). En matière pénale, un dommage au sens de l' art. 93 al. 1 let. a LTF se rapporte à un préjudice de nature juridique qui ne puisse pas être réparé ultérieurement par un jugement final ou une autre décision favorable au recourant ( ATF 143 IV 175 consid. 2.3 p. 177).</w:t>
      </w:r>
    </w:p>
    <w:p>
      <w:r>
        <w:t>En règle générale, les décisions relatives à la jonction de causes ne sont pas susceptibles de causer un préjudice irréparable. En effet, la jonction - respectivement la disjonction - de procédures prévue à l' art. 30 CPP porte sur une problématique que les parties peuvent à nouveau soulever à titre de réquisition à la suite de l'avis de la clôture de l'instruction ( art. 318 al. 1 CPP ) et/ou en tant que question préjudicielle à l'ouverture des débats ( art. 339 al. 2 CPP ), de sorte que l'éventuel dommage qui pourrait en résulter peut être réparé ultérieurement (arrêts 1B_230/2019 du 8 octobre 2019 consid. 1.3; 1B_485/2018 du 1er février 2019 consid. 1.2 et les arrêts cités).</w:t>
      </w:r>
    </w:p>
    <w:p>
      <w:r>
        <w:t>Dans un arrêt récent, le Tribunal fédéral a confirmé qu'en cas de disjonction - respectivement de refus de jonction - de causes relatives à plusieurs prévenus, la personne concernée subit en principe un dommage juridique constitutif d'un préjudice irréparable au sens de l' art. 93 al. 1 let. a LTF . En effet, elle perd ses droits procéduraux dans la procédure relative aux autres prévenus, n'ayant notamment plus le droit de participer aux auditions de ces derniers et à l'administration des autres preuves au cours de la procédure d'instruction ou de première instance ( art. 147 al. 1 CPP a contrario; ATF 140 IV 172 consid. 1.2.3 p. 176); elle ne peut plus non plus faire valoir dans ce cadre une violation de ses droits de participation (cf. art. 147 al. 4 CPP ; arrêt 1B_230/2019 du 8 octobre 2019 consid. 1.5.3).</w:t>
      </w:r>
    </w:p>
    <w:p>
      <w:r>
        <w:t>En l'occurrence, le recourant reste prévenu dans les deux procédures, ne perdant ainsi dans aucune des deux causes ses droits de partie, notamment en lien avec l'administration des preuves. Ce faisant, il a également en tout temps connaissance de l'avancement des deux instructions et paraît ainsi être en mesure, notamment dans la cause MPG__1, de demander, en fonction par exemple d'éventuelles nouvelles circonstances, la production du dossier de l'autre cause, la suspension de cette procédure et/ou la jonction des deux causes; en cas de renvoi en jugement, ces mêmes requêtes paraissent pouvoir être réitérées devant le tribunal de première instance, celui-ci pouvant également, le cas échéant, ordonner le renvoi à l'instruction.</w:t>
      </w:r>
    </w:p>
    <w:p>
      <w:r>
        <w:t>Il n'est ainsi pas d'emblée évident que la disjonction ordonnée - pour un motif au demeurant admis par la jurisprudence, soit la prescription prochaine de l'action pénale pour certains faits reprochés au prévenu ( ATF 138 IV 214 consid. 3.2 p. 219; arrêts 6B_467/2019 du 19 juillet 2019 consid. 5.1; 1B_428/2018 du 7 novembre 2018 consid. 3.2) - puisse causer en l'état un préjudice irréparable au recourant qu'aucune décision ultérieure ne serait à même de réparer.</w:t>
      </w:r>
    </w:p>
    <w:p>
      <w:r>
        <w:t>Partant, le recours est irrecevable.</w:t>
      </w:r>
    </w:p>
    <w:p>
      <w:r>
        <w:rPr>
          <w:b/>
        </w:rPr>
        <w:t>E. 1.3</w:t>
      </w:r>
    </w:p>
    <w:p>
      <w:r>
        <w:t>Le recourant, qui succombe, supporte les frais judiciaires ( art. 66 al. 1 LTF ). Il n'y a pas lieu d'allouer de dépens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