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1B_435/2015 vom 25. Februar 2016</w:t>
      </w:r>
    </w:p>
    <w:p>
      <w:r>
        <w:t>Bundesgericht, 2016-02-25, FR</w:t>
      </w:r>
    </w:p>
    <w:p>
      <w:r>
        <w:rPr>
          <w:b/>
        </w:rPr>
        <w:t xml:space="preserve">Quelle: </w:t>
      </w:r>
      <w:r>
        <w:t>https://mcp.opencaselaw.ch/entscheid/bger_1B_435_2015</w:t>
      </w:r>
    </w:p>
    <w:p>
      <w:r>
        <w:t>FR: TF 1B_435/2015 du 25 février 2016</w:t>
      </w:r>
    </w:p>
    <w:p>
      <w:r>
        <w:t>IT: TF 1B_435/2015 del 25 febbraio 2016</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L'arrêt attaqué est rendu en dernière instance cantonale, au sens de l' art. 80 LTF . Le recours a été déposé dans le délai de trente jours prescrit à l' art. 100 al. 1 LTF et la conclusion tendant à l'admission de la demande de récusation est recevable au regard de l' art. 107 LTF .</w:t>
      </w:r>
    </w:p>
    <w:p>
      <w:r>
        <w:rPr>
          <w:b/>
        </w:rPr>
        <w:t>E. 2</w:t>
      </w:r>
    </w:p>
    <w:p>
      <w:r>
        <w:t>Invoquant les dispositions relatives à la récusation ( art. 56 let . f CPP, art. 30 al. 1 Cst. et art. 6 par. 1 CEDH ), le recourant estime que ses droits auraient été gravement violés lors de l'arrestation du 1</w:t>
      </w:r>
    </w:p>
    <w:p>
      <w:r>
        <w:t>er juillet 2015, faute d'indication quant aux motifs de cette arrestation et de renseignements sur ses droits de procédure. La divulgation des antécédents du recourant à la presse ne pourrait être justifiée par l'intérêt de l'enquête en cours. Cette stratégie de communication ayant été définie sur la base de renseignements découlant des écoutes téléphoniques (quant aux contacts du recourant avec la presse), ces dernières auraient été utilisées à des fins étrangères à l'enquête. Les procédés du procureur seraient déloyaux et fonderaient sa récusation.</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141 IV 178 consid. 3.2.1 p. 179; 139 I 121 consid. 5.1 p. 125).</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notamment s'abstenir de tout procédé déloyal ( ATF 141 IV 178 consid. 3.2.2 p. 179; 138 IV 142 consid. 2.2.1 p. 145).</w:t>
      </w:r>
    </w:p>
    <w:p>
      <w:r>
        <w:rPr>
          <w:b/>
        </w:rPr>
        <w:t>E. 2.2</w:t>
      </w:r>
    </w:p>
    <w:p>
      <w:r>
        <w:t>En l'occurrence, les circonstances de l'arrestation du recourant, le 1</w:t>
      </w:r>
    </w:p>
    <w:p>
      <w:r>
        <w:t>er juillet 2015, ne sont pas propres à fonder une récusation. La police a en effet relâché l'intéressé après avoir constaté que son intervention n'avait pas permis de vérifier les soupçons à son encontre. Cela étant, elle lui a indiqué que l'arrestation était en rapport avec son véhicule. Dans la mesure où il n'y avait pas de motif de détention, la police a procédé conformément à l' art. 219 al. 3 CPP ; quant à l'éventuelle violation de l' art. 158 CPP , elle n'est, en tout état, pas le fait du Procureur. Ainsi, les circonstances de l'arrestation ne sauraient constituer un motif de récusation de ce dernier.</w:t>
      </w:r>
    </w:p>
    <w:p>
      <w:r>
        <w:rPr>
          <w:b/>
        </w:rPr>
        <w:t>E. 2.3</w:t>
      </w:r>
    </w:p>
    <w:p>
      <w:r>
        <w:t>S'agissant de la stratégie de communication, on peut certes admettre que l'intérêt public à l'établissement de l'existence d'un trafic de stupéfiants supposé important et le principe de proportionnalité aient pu justifier que les autorités pénales indiquent que l'arrestation du recourant était intervenue par erreur, alors que tel n'était en réalité pas le cas, afin de préserver temporairement les chances de succès de l'enquête. Ainsi, dans les présentes circonstances, cet aspect de la communication n'apparaît pas constitutive d'une prévention ou d'une apparence de prévention à l'encontre de celui-ci.</w:t>
      </w:r>
    </w:p>
    <w:p>
      <w:r>
        <w:rPr>
          <w:b/>
        </w:rPr>
        <w:t>E. 2.4</w:t>
      </w:r>
    </w:p>
    <w:p>
      <w:r>
        <w:t>Il en va cependant différemment des autres éléments de la stratégie de communication à laquelle le Procureur a participé. Tout d'abord, il n'est pas contesté que ladite stratégie a été élaborée après que la police a su par les écoutes téléphoniques, peu après l'interpellation du 1</w:t>
      </w:r>
    </w:p>
    <w:p>
      <w:r>
        <w:t>er juillet 2015, que le recourant avait eu des contacts avec un journaliste. La surveillance téléphonique a ainsi été utilisée dans un but étranger à la recherche de la commission d'infractions, ce qui n'est, en soi, pas admissible.</w:t>
      </w:r>
    </w:p>
    <w:p>
      <w:r>
        <w:rPr>
          <w:b/>
        </w:rPr>
        <w:t>E. 2.5</w:t>
      </w:r>
    </w:p>
    <w:p>
      <w:r>
        <w:t>De plus et surtout, il est établi que le Procureur a autorisé le porte-parole de la police à faire état à la presse des antécédents du recourant, soit notamment d'une condamnation en 2006 à Genève pour trafic de stupéfiants et d'une attaque armée contre la force publique commise dans son pays d'origine. La police ayant pris le parti d'affirmer que l'arrestation résultait d'une simple erreur, ce qui est en l'occurrence admissible ainsi que cela a été dit ci-dessus, on ne discerne en revanche aucune justification à divulguer à la presse les antécédents pénaux du recourant. En particulier, la nécessité de "rééquilibrer la communication relative à l'interpellation" n'emporte pas la conviction.</w:t>
      </w:r>
    </w:p>
    <w:p>
      <w:r>
        <w:t>En effet, outre que ces renseignements n'étaient en rien utiles à l'enquête, l' art. 73 al. 1 CPP institue, dans le domaine de l'information du public, une obligation générale de garder le silence de la part des autorités pénales. Dans l'hypothèse où il existe des motifs d'informer le public, l' art. 74 al. 3 CPP impose le respect de la présomption d'innocence du prévenu ( art. 10 al. 1 CPP , 32 al. 1 Cst. et 6 par. 2 CEDH) et celui des droits de la personnalité des personnes impliquées ( art. 13 Cst. et 8 CEDH). Cela implique que seules doivent être divulguées au public les informations indispensables pour atteindre les objectifs nécessaires (FF 2006 p. 1132). Ainsi, la stratégie de communication avalisée par le Procureur - laisser entendre que les crimes ou délits commis par le prévenu dans le passé légitimaient, en soi, de le soupçonner de s'être à nouveau fait l'auteur d'infractions - était en contradiction manifeste avec ces principes.</w:t>
      </w:r>
    </w:p>
    <w:p>
      <w:r>
        <w:t>Le Procureur apparaît dans ces circonstances avoir été davantage préoccupé de protéger l'intervention infructueuse de la police organisée sous son autorité, que de respecter la légalité de la procédure ( art. 62 al. 1 CPP ), les droits du prévenu ( art. 74 al. 3 CPP ), et son obligation d'instruction à charge et à décharge du prévenu ( art. 6 al. 2 CPP ). Il en résulte, à tout le moins sur le plan des apparences, une prévention manifeste de partialité du Procureur à l'encontre du recourant qui tombe sous le coup de l' art. 56 let . f CPP et justifie dès lors sa récusation.</w:t>
      </w:r>
    </w:p>
    <w:p>
      <w:r>
        <w:rPr>
          <w:b/>
        </w:rPr>
        <w:t>E. 3</w:t>
      </w:r>
    </w:p>
    <w:p>
      <w:r>
        <w:t>Sur le vu de ce qui précède, le recours doit être admis. La demande de récusation est également admise et la cause est renvoyée à la cour cantonale afin qu'un autre procureur soit désigné pour la suite de la procédure. Conformément à l' art. 68 al. 2 LTF , une indemnité de dépens est allouée au recourant, à la charge du canton de Vaud. Cela rend sans objet la demande d'assistance judiciaire. Selon l' art. 66 al. 4 LTF , il n'est pas perçu de frais judiciaires. Il appartiendra aussi à la cour cantonale de statuer à nouveau sur les frais et indemnités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