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1B_434/2020 vom 17. Februar 2021</w:t>
      </w:r>
    </w:p>
    <w:p>
      <w:r>
        <w:t>Bundesgericht, 2021-02-17, FR</w:t>
      </w:r>
    </w:p>
    <w:p>
      <w:r>
        <w:rPr>
          <w:b/>
        </w:rPr>
        <w:t xml:space="preserve">Quelle: </w:t>
      </w:r>
      <w:r>
        <w:t>https://mcp.opencaselaw.ch/entscheid/bger_1B_434_2020</w:t>
      </w:r>
    </w:p>
    <w:p>
      <w:r>
        <w:t>FR: TF 1B_434/2020 du 17 février 2021</w:t>
      </w:r>
    </w:p>
    <w:p>
      <w:r>
        <w:t>IT: TF 1B_434/2020 del 17 febbraio 2021</w:t>
      </w:r>
    </w:p>
    <w:p>
      <w:pPr>
        <w:pStyle w:val="Heading2"/>
      </w:pPr>
      <w:r>
        <w:t>Erwägungen</w:t>
      </w:r>
    </w:p>
    <w:p>
      <w:r>
        <w:rPr>
          <w:b/>
        </w:rPr>
        <w:t>E. 1</w:t>
      </w:r>
    </w:p>
    <w:p>
      <w:r>
        <w:t>Les recours dans les causes 1B_434/2020 et 1B_435/2020, datés du même jour, sont dirigés contre une même décision du Tribunal pénal fédéral. Ils émanent certes de parties différentes, mais celles-ci sont représentées par les mêmes avocats et développent des griefs similaires (cf. en particulier les écritures déposées le 20 novembre 2020). Les trois recourants concluent en outre à la jonction des deux causes.</w:t>
      </w:r>
    </w:p>
    <w:p>
      <w:r>
        <w:t>Partant, il y a lieu de joindre les causes 1B_434/2020 et 1B_435/2020 et de les traiter dans un seul arrêt, par économie de procédure ( art. 24 al. 2 PCF [RS 273], applicable en vertu du renvoi de l' art. 71 LTF ).</w:t>
      </w:r>
    </w:p>
    <w:p>
      <w:r>
        <w:rPr>
          <w:b/>
        </w:rPr>
        <w:t>E. 2</w:t>
      </w:r>
    </w:p>
    <w:p>
      <w:r>
        <w:t>La décision attaquée, rendue par la Cour des plaintes, a trait aux scellés apposés sur des pièces saisies lors d'une perquisition au sens de l'art. 50 de la loi fédérale du 22 mars 1974 sur le droit pénal administratif (DPA; RS 313.0) et porte ainsi sur des mesures de contrainte au sens de l' art. 79 LTF . Ce prononcé peut donc faire l'objet d'un recours en matière pénale au Tribunal fédéral ( ATF 139 IV 246 consid. 1.3 p. 248; arrêt 1B_442/2020 du 14 janvier 2021 consid. 1.1).</w:t>
      </w:r>
    </w:p>
    <w:p>
      <w:r>
        <w:t>Dès lors que la décision entreprise lève les scellés sur des pièces prétendument protégées par le secret professionnel de l'avocat, les recourants - qui ont participé à la procédure devant l'instance précédente - ont, en tant que prévenus détenteurs des pièces sous scellés, un intérêt juridique à l'annulation ou à la modification du prononcé attaqué ( art. 81 al. 1 let. a et b LTF ). De manière contraire à leurs obligations en matière de motivation (cf. art. 42 al. 2 LTF ), les recourants ne développent aucune argumentation en lien avec la nature de la décision entreprise. Cela étant, le motif susmentionné invoqué afin d'obtenir le maintien des scellés suffit pour considérer que le prononcé attaqué - qui lève cette protection - est susceptible de leur causer un préjudice irréparable ( art. 93 al. 1 let. a LTF ; ATF 143 IV 462 consid. 1 p. 465; arrêt 1B_525/2020 du 20 janvier 2021 consid. 1 et les arrêts cités).</w:t>
      </w:r>
    </w:p>
    <w:p>
      <w:r>
        <w:t>Pour le surplus, les recours ont été déposés en temps utile (art. 45 al. 1, 46 al. 1 let. b et 100 al. 1 LTF; ATF 143 IV 357 consid. 1.2.1 p. 359) et les conclusions qui y sont prises sont recevables ( art. 107 al. 2 LTF ); tel est notamment le cas de la conclusion en renvoi de la cause prise à titre principal par les deux sociétés recourantes, puisqu'elles soulèvent des griefs d'ordre formel pouvant tendre à cette issue. Partant, il y a lieu d'entrer en matière.</w:t>
      </w:r>
    </w:p>
    <w:p>
      <w:r>
        <w:rPr>
          <w:b/>
        </w:rPr>
        <w:t>E. 3</w:t>
      </w:r>
    </w:p>
    <w:p>
      <w:r>
        <w:t>Dans la mesure où l'autorité intimée invoque des faits nouveaux dans ses observations, ils sont irrecevables, faute de motivation tendant à démontrer un établissement arbitraire de la part de la Cour des plaintes (art. 42 al. 2 et 105 al. 2 LTF). Sous réserve des griefs ci-après, le Tribunal fédéral est donc lié par les faits établis par la Cour des plaintes (cf. art. 105 al. 1 LTF ).</w:t>
      </w:r>
    </w:p>
    <w:p>
      <w:r>
        <w:rPr>
          <w:b/>
        </w:rPr>
        <w:t>E. 4</w:t>
      </w:r>
    </w:p>
    <w:p>
      <w:r>
        <w:t>Invoquant des violations des art. 29 al. 2 Cst. et 6 par. 1 CEDH, les deux sociétés recourantes se plaignent tout d'abord d'un déni de justice. Elles soutiennent en substance que la Cour des plaintes n'aurait pas statué sur l'ensemble des conclusions prises le 25 juillet 2019 lors de leur demande d'admission en tant que parties; la Cour des plaintes ne se serait ainsi pas prononcée sur leur requête d'accès au dossier de la procédure BB.2019.6, ainsi que sur leur demande d'octroi d'un délai pour se déterminer sur la requête de levée des scellés. Faute notamment d'accès au dossier, elles n'auraient pas pu exercer leurs droits de procédure et prendre des conclusions sur la demande de levées des scellés, ce qui constituerait une violation de leur droit d'être entendues.</w:t>
      </w:r>
    </w:p>
    <w:p>
      <w:r>
        <w:t>Dans ses considérants relatifs à l'admission des recourantes en tant que parties plaignantes, la Cour des plaintes a relevé que les trois prévenus - dont font parties les deux sociétés recourantes - agissaient par le biais de mandataires communs, cela pour le moins dès le 24 juillet 2017 (cf. consid. 1.5.4 p. 9 de l'arrêt attaqué; voir également au demeurant les courriers déposés aux noms des trois prévenus en lien avec les scellés, notamment à titre de déterminations, des 13 juin 2017, 14 septembre 2017 et 31 juillet 2018); les recourantes ne le contestent d'ailleurs pas. Les courriers précités permettent de retenir que les recourantes avaient aussi connaissance de l'existence de la perquisition et ne sauraient donc prétendre n'avoir pas eu l'opportunité de faire valoir leurs griefs contre cette mesure, ainsi que les motifs - notamment propres - pour obtenir le maintien des scellés. Les recourantes ne prétendent enfin pas que ces écritures auraient été ignorées de la Cour des plaintes, puisqu'elles ont été produites à l'appui de leur demande d'admission à la procédure.</w:t>
      </w:r>
    </w:p>
    <w:p>
      <w:r>
        <w:t>Devant la Cour des plaintes, les recourantes ont continué à être représentées par les mêmes mandataires que le recourant A.________ (cf. notamment les procurations fournies par les avocats en lien avec les sociétés). La Cour des plaintes s'est en outre adressée aux avocats Pierre-Alain Guillaume et Anna Pivin afin que leurs mandants - et non pas uniquement le recourant A.________ - se déterminent sur leurs intérêts au maintien du secret (cf. son courrier du 22 avril 2020). Ces mandataires professionnels ont ensuite déposé une seule et même détermination, le 27 mai 2020, au nom des trois recourants. Les sociétés recourantes ne remettent enfin pas en cause le fait que le recourant A.________ serait leur représentant (cf. ad IV/1 p. 6 des observations de l'AFC du 12 octobre 2020) et que ce dernier aurait eu accès aux pièces sous scellés en février 2020 (cf. le courrier de l'AFC du 6 février 2020), soit préalablement à l'invitation précitée de la Cour des plaintes pour se déterminer.</w:t>
      </w:r>
    </w:p>
    <w:p>
      <w:r>
        <w:t>Au vu de ces éléments, les recourantes ne sauraient donc, de bonne foi, prétendre avoir ignoré la teneur du dossier de la procédure de levée des scellés et n'avoir pas eu l'occasion au cours de celle-ci de faire valoir leurs griefs. Partant, on ne saurait reprocher à la Cour des plaintes de n'avoir pas statué formellement sur les requêtes formées par les recourantes dans leur demande d'admission, faute d'avoir eu un réel objet. Ces griefs, manifestement mal fondés, voire frisant la témérité, peuvent donc être écartés.</w:t>
      </w:r>
    </w:p>
    <w:p>
      <w:r>
        <w:t>Cette conclusion s'impose d'autant plus que, devant le Tribunal fédéral, les recourantes ne développent aucune argumentation tendant à remettre en cause les considérations émises par la Cour des plaintes s'agissant des soupçons suffisants (cf. consid. 3.6 p. 15 ss de la décision attaquée), de l'importance des documents saisis pour l'enquête en cours (cf. consid. 3.7 de l'arrêt entrepris) et/ou de la proportionnalité de la perquisition effectuée (cf. consid. 3.8 de la décision attaquée). Elles ne font pas non plus état du moindre élément permettant de retenir, même sous l'angle de la vraisemblance, qu'elles auraient eu d'autres motifs à faire valoir que le secret professionnel de l'avocat.</w:t>
      </w:r>
    </w:p>
    <w:p>
      <w:r>
        <w:rPr>
          <w:b/>
        </w:rPr>
        <w:t>E. 5</w:t>
      </w:r>
    </w:p>
    <w:p>
      <w:r>
        <w:t>Se prévalant des art. 46 al. 3, 50 al. 2 DPA et 13 al. 1 Cst., les trois recourants reprochent à la Cour des plaintes d'avoir considéré qu'ils n'auraient pas rempli leurs obligations en matière de collaboration. A l'appui de leur motivation, ils font notamment valoir une constatation inexacte des faits; contrairement à ce qu'aurait retenu la Cour des plaintes, ils auraient désigné précisément les pièces sous scellés protégées par le secret professionnel de l'avocat et démontré pourquoi ce motif s'appliquerait en l'occurrence.</w:t>
      </w:r>
    </w:p>
    <w:p>
      <w:r>
        <w:rPr>
          <w:b/>
        </w:rPr>
        <w:t>E. 5.1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w:t>
      </w:r>
    </w:p>
    <w:p>
      <w:r>
        <w:rPr>
          <w:b/>
        </w:rPr>
        <w:t>E. 5.2</w:t>
      </w:r>
    </w:p>
    <w:p>
      <w:r>
        <w:t>Lorsque la poursuite d'infractions est confiée à une autorité administrative fédérale, la loi fédérale sur le droit pénal administratif est applicable ( art. 1 DPA ). Dans la mesure où le DPA ne règle pas exhaustivement certaines questions, les dispositions du CPP sont applicables en principe par analogie ( ATF 139 IV 246 consid. 1.2 p. 248; arrêt 1B_450/2020 du 14 janvier 2021 consid. 3.1 et les arrêts cités).</w:t>
      </w:r>
    </w:p>
    <w:p>
      <w:r>
        <w:rPr>
          <w:b/>
        </w:rPr>
        <w:t>E. 5.3</w:t>
      </w:r>
    </w:p>
    <w:p>
      <w:r>
        <w:t>Selon l' art. 46 al. 3 DPA , il est interdit de séquestrer les objets et les documents concernant des contacts entre une personne et son avocat si celui-ci est autorisé à pratiquer la représentation en justice en vertu de la loi fédérale du 23 juin 2000 sur la libre circulation des avocats (LLCA; RS 935.61) et n'a pas le statut de prévenu dans la même affaire. L' art. 50 al. 1 DPA dispose que la perquisition visant des papiers doit être opérée avec les plus grands égards pour les secrets privés (1ère phrase); en particulier, les papiers ne seront examinés que s'ils contiennent apparemment des écrits importants pour l'enquête (2ème phrase). La perquisition doit être opérée de manière à sauvegarder le secret de fonction, ainsi que les secrets confiés aux ecclésiastiques, avocats, notaires, médecins, pharmaciens, sages-femmes et à leurs auxiliaires, en vertu de leur ministère ou de leur profession ( art. 50 al. 2 DPA ).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(cf. art. 25 al. 1 DPA ; art. 50 al. 3 DPA ).</w:t>
      </w:r>
    </w:p>
    <w:p>
      <w:r>
        <w:t>En matière de scellés, tant l'autorité requérant la levée des scellés que le détenteur des pièces mises sous scellés doivent fournir des explications circonstanciées sur l'éventuelle pertinence, respectivement le défaut d'utilité des pièces placées sous scellés ( ATF 143 IV 462 consid. 2.1 p. 466; 141 IV 77 consid. 4.3 p. 81 et 5.6 p. 87; 138 IV 225 consid. 7.1 p. 229). Les obligations en matière de motivation du détenteur sont d'autant plus importantes que l'autorité requérante n'a pas accès au contenu des pièces (arrêt 1B_539/2019 du 19 mars 2020 consid. 3.2.3); cela vaut en particulier lorsque les documents ou données dont la mise sous scellés a été requise sont très nombreux ou très complexes ( ATF 141 IV 77 consid. 4.3 p. 81 et 5.6 p. 87; 138 IV 225 consid. 7.1 p. 229; arrêt 1B_539/2019 du 19 mars 2020 consid. 3.2.3 et les arrêts cités).</w:t>
      </w:r>
    </w:p>
    <w:p>
      <w:r>
        <w:t>Les exigences en matière de motivation et de collaboration ne sont pas différentes ou moindres lorsque celui s'opposant à la levée des scellés se prévaut d'un autre motif pour obtenir le maintien des scellés. S'agissant en particulier du secret professionnel de l'avocat, l'opposant doit démontrer que le mandataire en cause a été consulté dans le cadre d'une activité professionnelle typique ( ATF 143 IV 462 consid. 2.2 et 2.3 p. 467 ss).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p. 467). En revanche, la transmission à titre de simple copie d'un courrier à un avocat ne suffit pas pour considérer que l'écriture en cause serait également protégée ( ATF 143 IV 462 consid. 2.3 p. 468). En présence ensuite d'un secret professionnel avéré, au sens de l' art. 171 CPP , l'autorité de levée des scellés élimine les pièces couvertes par ce secret. Elle prend également les mesures nécessaires pour préserver, parmi les documents remis aux enquêteurs, la confidentialité des tiers non concernés par l'enquête en cours. Il en va de même lorsque des pièces ou objets bénéficient de la protection conférée par l' art. 264 al. 1 CPP ( ATF 143 IV 462 consid. 2.1 p. 466; arrêt 1B_539/2019 du 19 mars 2020 consid. 3.2.3).</w:t>
      </w:r>
    </w:p>
    <w:p>
      <w:r>
        <w:rPr>
          <w:b/>
        </w:rPr>
        <w:t>E. 5.4</w:t>
      </w:r>
    </w:p>
    <w:p>
      <w:r>
        <w:t>Contrairement tout d'abord à ce que soutiennent les recourants (cf. ch. 5.1 p. 8 [1B_434/2020] et 5.2.1 p. 12 [1B_435/2020] des recours), la Cour des plaintes n'a pas ignoré qu'ils entendaient obtenir le maintien des scellés sur l'ensemble des éléments saisis dans la "Data Room Avocats" (cf. consid. 4.5.1, 4.5.2 et en particulier 4.5.4 p. 20 s. de l'arrêt attaqué ["les opposants ne peuvent se contenter d'indiquer que l'ensemble des documents se trouvant dans la « Data Room Avocats » sont soumis au secret professionnel"]), ce qui correspond aux références "Y________ 001 à 268" du procès-verbal de perquisition du 19 avril 2017 (ad ch. 5.2 p. 9 s. [1B_434/2020] et ch. 5.2.2 p. 13 [1B_435/2020] des recours). Le grief d'arbitraire soulevé à cet égard peut donc être écarté.</w:t>
      </w:r>
    </w:p>
    <w:p>
      <w:r>
        <w:rPr>
          <w:b/>
        </w:rPr>
        <w:t>E. 5.5</w:t>
      </w:r>
    </w:p>
    <w:p>
      <w:r>
        <w:t>La Cour des plaintes a ensuite retenu que l'occasion avait été donnée aux recourants de décrire - ou rendre vraisemblables - pour chaque document inventorié par l'AFC leurs intérêts au maintien du secret afin de satisfaire leur obligation de collaboration (cf. notamment les séances des 12 juin, 30 et 31 juillet 2017, les déterminations des 24 juillet, 14 septembre 2017 et du 31 juillet 2018, ainsi que l'interpellation de la Cour des plaintes du 22 avril 2020); les recourants avaient cependant indiqué être dans l'impossibilité matérielle de le faire, ce malgré l'inventaire établi par l'AFC. Selon la Cour des plaintes, ce document - contenant un libellé des éléments sous scellés - aurait pourtant permis aux recourants de mieux connaître le contenu des pièces saisies et de décrire au moins sommairement les documents couverts; cela valait d'autant plus que les recourants avaient eux-mêmes récolté ces pièces afin de créer la "Data Room Avocats" en 2015. L'instance précédente a dès lors estimé qu'au vu de ce travail, les recourants devaient vraisemblablement être en mesure de connaître le contenu des classeurs se trouvant dans cet espace. Faute d'avoir effectué l'examen attendu, la Cour des plaintes a considéré que les recourants n'avaient pas rendu vraisemblable leur intérêt au maintien du secret pour chaque document (cf. consid. 4.6 p. 22 de l'arrêt attaqué).</w:t>
      </w:r>
    </w:p>
    <w:p>
      <w:r>
        <w:t>Ce raisonnement ne prête pas le flanc à la critique et les recourants ne développent aucun élément propre à le remettre en cause, notamment afin de démonter avoir rempli leurs obligations en matière de collaboration. En particulier, les recourants ne soutiennent pas avoir déposé des déterminations indiquant avec précision quelles seraient les pièces couvertes par le secret professionnel de l'avocat, que ce soit d'ailleurs en lien ou pas avec les références données dans l'inventaire de l'AFC. Ils ne contestent d'ailleurs pas l'existence de cet inventaire et/ou la teneur des libellés y figurant, respectivement l'aide que cet outil pouvait leur apporter afin de remplir leurs obligations. En lien en outre avec les indications mentionnées dans l'inventaire de l'AFC, les recourants ne font pas valoir, devant le Tribunal fédéral, que ces informations suffiraient à justifier pour l'ensemble - voire même pour une partie - des éléments saisis le maintien des scellés en raison du secret professionnel de l'avocat.</w:t>
      </w:r>
    </w:p>
    <w:p>
      <w:r>
        <w:t>Une autre appréciation ne résulte pas non plus des attestations des avocats O.________, P.________ et Q.________. Ces documents - qui constituent, à suivre les recourants, seulement l'"avis" de ces avocats (cf. ch. 5.2 p. 10 [1B_434/2020] et ch. 5.2.2 p. 14 [1B_435/2020] des recours) - confirment en effet avant tout que ce sont les recourants qui ont réuni les éléments figurant dans la "Data Room Avocats" (cf. notamment p. 1 de l'attestation de l'avocat Q.________ et p. 1 s. de celle des avocats P.________ et O.________). La Cour des plaintes a pris en compte cet élément, duquel elle a déduit que les recourants savaient ce qui se trouvait dans la "Data Room Avocats"; le grief d'arbitraire dans l'établissement et l'appréciation des faits soulevé sur ce point peut donc aussi être écarté.</w:t>
      </w:r>
    </w:p>
    <w:p>
      <w:r>
        <w:t>Sans autre précision - que ne donnent d'ailleurs pas les attestations précitées ou les recourants -, le secret professionnel de l'avocat ne protège en principe pas les documents existant en soi préalablement et indépendamment d'une procédure judiciaire (cf. par exemple, des relevés bancaires, des contrats commerciaux, des polices d'assurance), notamment lorsqu'ils se trouvent en mains du mandant (cf. les factures de location acquittées par le recourant A.________ pour le local de la "Data Room Avocats"). Pour le surplus, ces attestations ne permettent pas de retenir que tous les éléments saisis seraient protégés. En effet, cette protection ne saurait sans la moindre indication s'appliquer à l'ensemble des pièces sous scellés du seul fait que certaines auraient peut-être été établies uniquement afin de renseigner les avocats précités dans le cadre d'un mandat relevant d'une activité typique de cette profession (cf. par exemple les notes factuelles, analyses et argumentaires relevés par les avocats P.________ et O.________; voir arrêt 1B_486/2017 du 10 avril 2018 consid. 3.3). Cette conclusion s'impose d'autant plus que de tels éléments ne sont pas identifiés par les recourants; ils ne donnent aucune référence à cet égard qui ressortirait des attestations précitées ou de l'inventaire de l'AFC.</w:t>
      </w:r>
    </w:p>
    <w:p>
      <w:r>
        <w:rPr>
          <w:b/>
        </w:rPr>
        <w:t>E. 6</w:t>
      </w:r>
    </w:p>
    <w:p>
      <w:r>
        <w:t>Il s'ensuit que les recours sont rejetés.</w:t>
      </w:r>
    </w:p>
    <w:p>
      <w:r>
        <w:t>Les recourants, qui succombent, supportent les frais judiciaires, pour moitié, à la charge du recourant A.________ et, pour l'autre moitié, à la charge des deux sociétés recourantes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