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1B_433/2020 vom 28. August 2020</w:t>
      </w:r>
    </w:p>
    <w:p>
      <w:r>
        <w:t>Bundesgericht, 2020-08-28, DE</w:t>
      </w:r>
    </w:p>
    <w:p>
      <w:r>
        <w:rPr>
          <w:b/>
        </w:rPr>
        <w:t xml:space="preserve">Quelle: </w:t>
      </w:r>
      <w:r>
        <w:t>https://mcp.opencaselaw.ch/entscheid/bger_1B_433_2020</w:t>
      </w:r>
    </w:p>
    <w:p>
      <w:r>
        <w:t>FR: TF 1B_433/2020 du 28 août 2020</w:t>
      </w:r>
    </w:p>
    <w:p>
      <w:r>
        <w:t>IT: TF 1B_433/2020 del 28 agosto 2020</w:t>
      </w:r>
    </w:p>
    <w:p>
      <w:pPr>
        <w:pStyle w:val="Heading2"/>
      </w:pPr>
      <w:r>
        <w:t>Erwägungen</w:t>
      </w:r>
    </w:p>
    <w:p>
      <w:r>
        <w:rPr>
          <w:b/>
        </w:rPr>
        <w:t>E. 1</w:t>
      </w:r>
    </w:p>
    <w:p>
      <w:r>
        <w:t>A.________ erhob am 3. Juni 2020 Beschwerde im gegen ihn geführten Verfahren vor der Regionalen Staatsanwaltschaft U.________. Die Verfahrensleitung der Beschwerdekammer in Strafsachen des Obergerichts des Kantons Bern stellte mit Verfügung vom 11. Juni 2020 fest, dass die Beschwerde vom 3. Juni 2020 weitschweifig und unverständlich sei und die Formerfordernisse an eine Rechtsmittelschrift nicht erfülle. Die Beschwerdekammer forderte A.________ auf, innert einer Frist von fünf Tagen die Rechtsmittelschrift im Sinne der gesetzlichen Vorgaben zu überarbeiten, ansonsten sie unbeachtet bleibe ( Art. 110 Abs. 4 StPO ). Die Beschwerdekammer in Strafsachen des Obergerichts des Kantons Bern verfügte am 30. Juni 2020, dass die Eingabe von A.________ vom 3. Juni 2020 unbeachtet im Sinne von Art. 110 Abs. 4 StPO bleibe, da innert Frist keine Nachbesserung eingegangen sei.</w:t>
      </w:r>
    </w:p>
    <w:p>
      <w:r>
        <w:rPr>
          <w:b/>
        </w:rPr>
        <w:t>E. 2</w:t>
      </w:r>
    </w:p>
    <w:p>
      <w:r>
        <w:t>A.________ führt mit Eingabe vom 12. Juli 2020Beschwerde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nicht mit der angefochtenen Verfügung der Beschwerdekammer auseinander. Mit seinen nicht sachbezogenen Ausführungen vermag er nicht aufzuzeigen, dass die Beschwerdekammer bei der Behandlung seiner Beschwerde Recht im Sinne von Art. 42 Abs. 2 BGG verletzt hätte. Aus der Beschwerde ergibt sich nicht ansatzweise,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