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1B_433/2018 vom 4. Oktober 2018</w:t>
      </w:r>
    </w:p>
    <w:p>
      <w:r>
        <w:t>Bundesgericht, 2018-10-04, DE</w:t>
      </w:r>
    </w:p>
    <w:p>
      <w:r>
        <w:rPr>
          <w:b/>
        </w:rPr>
        <w:t xml:space="preserve">Quelle: </w:t>
      </w:r>
      <w:r>
        <w:t>https://mcp.opencaselaw.ch/entscheid/bger_1B_433_2018</w:t>
      </w:r>
    </w:p>
    <w:p>
      <w:r>
        <w:t>FR: TF 1B_433/2018 du 4 octobre 2018</w:t>
      </w:r>
    </w:p>
    <w:p>
      <w:r>
        <w:t>IT: TF 1B_433/2018 del 4 ottobre 2018</w:t>
      </w:r>
    </w:p>
    <w:p>
      <w:pPr>
        <w:pStyle w:val="Heading2"/>
      </w:pPr>
      <w:r>
        <w:t>Erwägungen</w:t>
      </w:r>
    </w:p>
    <w:p>
      <w:r>
        <w:rPr>
          <w:b/>
        </w:rPr>
        <w:t>E. 1</w:t>
      </w:r>
    </w:p>
    <w:p>
      <w:r>
        <w:t>Die Sachurteilsvoraussetzungen sind grundsätzlich erfüllt. Die in Erwägung 1.2 des bundesgerichtlichen Urteils vom 15. Mai 2018 gemachten Ausführungen, auf welche verwiesen werden kann, gelten auch hier.</w:t>
      </w:r>
    </w:p>
    <w:p>
      <w:r>
        <w:t>Nicht einzutreten ist auf den ausserhalb des zulässigen Streitgegenstands liegenden Antrag des Beschwerdeführers, er sei unverzüglich in ein Straf- und Massnahmenzentrum zu versetzen (vgl. auch E. 6 hiernach).</w:t>
      </w:r>
    </w:p>
    <w:p>
      <w:r>
        <w:rPr>
          <w:b/>
        </w:rPr>
        <w:t>E. 2</w:t>
      </w:r>
    </w:p>
    <w:p>
      <w:r>
        <w:t>Der Beschwerdeführer rügt eine offensichtlich unrichtige Sachverhaltsfeststellung durch die Vorinstanz. Darauf kann nicht eingetreten werden. Der Beschwerdeführer legt nicht näher dar, inwiefern die Vorinstanz den Sachverhalt offensichtlich unrichtig festgestellt haben soll. Die Beschwerde genügt damit insoweit den qualifizierten Begründungsanforderungen von Art. 106 Abs. 2 BGG nicht (dazu BGE 144 V 50 E. 4.1 S. 52 f. mit Hinweisen).</w:t>
      </w:r>
    </w:p>
    <w:p>
      <w:r>
        <w:rPr>
          <w:b/>
        </w:rPr>
        <w:t>E. 3</w:t>
      </w:r>
    </w:p>
    <w:p>
      <w:r>
        <w:t>Der Beschwerdeführer bringt ferner vor, die Verlängerung der Sicherheitshaft um sechs Monate führe zu einer übermässigen Haftdauer.</w:t>
      </w:r>
    </w:p>
    <w:p>
      <w:r>
        <w:t>Die Frage, ob eine Haftdauer als übermässig bezeichnet werden muss, ist aufgrund der konkreten Verhältnisse des einzelnen Falles zu beurteilen ( BGE 139 IV 270 E. 3.1 S. 275 mit Hinweisen). Falls eine Verurteilung zu einem stationären Massnahmenvollzug droht, ist die Fortdauer der strafprozessualen Haft verhältnismässig, wenn aufgrund der Aktenlage mit einer freiheitsentziehenden Massnahme ernsthaft zu rechnen ist, deren gesamter Vollzug deutlich länger dauern könnte als die bisherige strafprozessuale Haft (Urteil 1B_322/2017 vom 24. August 2017 E. 4.1, nicht publ. in: BGE 143 IV 330 ).</w:t>
      </w:r>
    </w:p>
    <w:p>
      <w:r>
        <w:t>Vorliegend beabsichtigt das Amt, beim zuständigen Gericht gemäss Art. 62c Abs. 4 StGB die Verwahrung zu beantragen. Aufgrund der diagnostizierten schweren psychischen Störung des Beschwerdeführers, der gutachterlich attestierten hohen Rückfallgefahr und der weiteren Umstände ist mit einer freiheitsentziehenden Massnahme ernsthaft zu rechnen, deren gesamter Vollzug die Dauer der angeordneten Sicherheitshaft deutlich übersteigt, womit die Verlängerung der Sicherheitshaft nicht übermässig erscheint. Es kann insoweit auf die überzeugenden Ausführungen der Vorinstanz (E. 3.5) verwiesen werden (vgl. Art. 109 Abs. 2 lit. a und Abs. 3 BGG ).</w:t>
      </w:r>
    </w:p>
    <w:p>
      <w:r>
        <w:rPr>
          <w:b/>
        </w:rPr>
        <w:t>E. 4</w:t>
      </w:r>
    </w:p>
    <w:p>
      <w:r>
        <w:t>Der Beschwerdeführer wirft dem Amt eine Verletzung des Beschleunigungsgebots ( Art. 5 StPO ) vor, weil dieses die Verwahrung noch nicht beantragt habe.</w:t>
      </w:r>
    </w:p>
    <w:p>
      <w:r>
        <w:t>Wie das Bundesgericht bereits im Entscheid vom 5. Juli 2018 betreffend den Beschwerdeführer bekräftigte (E. 6), kann der Antrag auf Anordnung der Verwahrung erst nach Rechtskraft der Aufhebung der Massnahme gemäss Art. 62c Abs. 1 lit. a StGB erfolgen ( BGE 141 IV 49 E. 2.3 ff. S. 52 f. und E. 3.3 am Schluss S. 55). Dem Amt ist keine Verletzung des Beschleunigungsgebots vorzuwerfen.</w:t>
      </w:r>
    </w:p>
    <w:p>
      <w:r>
        <w:rPr>
          <w:b/>
        </w:rPr>
        <w:t>E. 5</w:t>
      </w:r>
    </w:p>
    <w:p>
      <w:r>
        <w:t>Das Bundesgericht hat bereits im Urteil vom 15. Mai 2018 dargelegt (E. 6) und im Urteil vom 5. Juli 2018 bestätigt (E. 5), dass mildere Ersatzmassnahmen anstelle der Sicherheitshaft zur Bannung der Wiederholungsgefahr nicht genügen. Der Beschwerdeführer bringt nichts vor, was eine abweichende Beurteilung rechtfertigen könnte. Das vom Beschwerdeführer beantragte Electronic Monitoring verbunden mit einer Meldepflicht kann daher vorliegend nicht an Stelle der Sicherheitshaft angeordnet werden.</w:t>
      </w:r>
    </w:p>
    <w:p>
      <w:r>
        <w:rPr>
          <w:b/>
        </w:rPr>
        <w:t>E. 6</w:t>
      </w:r>
    </w:p>
    <w:p>
      <w:r>
        <w:t>Kein Bundesrecht verletzt sodann die Auffassung der Vorinstanz, das Zwangsmassnahmengericht sei mangels Zuständigkeit zu Recht nicht auf den vom Beschwerdeführer im Verfahren um Verlängerung der Sicherheitshaft gestellten Antrag um Versetzung in ein Straf- und Massnahmenzentrum eingetreten. Der Antrag des Beschwerdeführers um Versetzung in ein Straf- und Massnahmenzentrum betrifft keine Ersatzmassnahme im Sinne von Art. 237 Abs. 1 StPO und liegt deshalb ausserhalb der Zuständigkeit des Zwangsmassnahmengerichts. Es kann insoweit auf die überzeugenden Ausführungen der Vorinstanz (E. 4.4) verwiesen werden (vgl. Art. 109 Abs. 2 lit. a und Abs. 3 BGG ).</w:t>
      </w:r>
    </w:p>
    <w:p>
      <w:r>
        <w:rPr>
          <w:b/>
        </w:rPr>
        <w:t>E. 7</w:t>
      </w:r>
    </w:p>
    <w:p>
      <w:r>
        <w:t>Die Beschwerde ist nach dem Ausgeführten im Verfahren nach Art. 109 Abs. 2 lit. a und Abs. 3 BGG abzuweisen, soweit darauf einzutreten ist. Da sie offensichtlich aussichtslos war, kann die unentgeltliche Rechtspflege und Verbeiständung gemäss Art. 64 BGG nicht bewilligt werden. Unter den gegebenen Umständen - dem Beschwerdeführer ist die Freiheit seit Langem entzogen - rechtfertigt es sich jedoch, auf die Erhebung von Gerichtskosten zu verzichten ( Art. 66 Abs. 1 Satz 2 BGG ).</w:t>
      </w:r>
    </w:p>
    <w:p>
      <w:r>
        <w:t>Soweit der Beschwerdeführer Anträge zu den Kostenfolgen im kantonalen Verfahren stellt, kann darauf schon deshalb nicht eingetreten werden, weil er - wozu er gemäss Art. 42 Abs. 1 und 2 BGG verpflichtet gewesen wäre - die entsprechenden Rechtsbegehren (7-10)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