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1B_431/2022 vom 2. September 2022</w:t>
      </w:r>
    </w:p>
    <w:p>
      <w:r>
        <w:t>Bundesgericht, 2022-09-02, FR</w:t>
      </w:r>
    </w:p>
    <w:p>
      <w:r>
        <w:rPr>
          <w:b/>
        </w:rPr>
        <w:t xml:space="preserve">Quelle: </w:t>
      </w:r>
      <w:r>
        <w:t>https://mcp.opencaselaw.ch/entscheid/bger_1B_431_2022</w:t>
      </w:r>
    </w:p>
    <w:p>
      <w:r>
        <w:t>FR: TF 1B_431/2022 du 2 septembre 2022</w:t>
      </w:r>
    </w:p>
    <w:p>
      <w:r>
        <w:t>IT: TF 1B_431/2022 del 2 settembre 2022</w:t>
      </w:r>
    </w:p>
    <w:p>
      <w:pPr>
        <w:pStyle w:val="Heading2"/>
      </w:pPr>
      <w:r>
        <w:t>Erwägungen</w:t>
      </w:r>
    </w:p>
    <w:p>
      <w:r>
        <w:rPr>
          <w:b/>
        </w:rPr>
        <w:t>E. 1.1</w:t>
      </w:r>
    </w:p>
    <w:p>
      <w:r>
        <w:t>Le recours en matière pénale ( art. 78 al. 1 LTF ) est ouvert contre une décision relative à la détention provisoire ou pour des motifs de sûreté au sens des art. 212 ss CPP ( ATF 137 IV 22 consid. 1 p. 23). La détention du recourant repose actuellement sur la décision du 22 août 2022 du Tmc ordonnant son placement en détention pour des motifs de sûreté. Cette ordonnance retient notamment l'existence d'un risque de fuite en faisant référence, à titre de motivation, à son prononcé du 28 juin 2022, ainsi qu'à l'arrêt du 18 juillet 2022 de la Chambre pénale des recours, soit les décisions à l'origine de la présente cause. Le recourant conserve dès lors un intérêt actuel et pratique à l'examen de ses griefs (art. 81 al. 1 let. a et b ch. 1 LTF; arrêt 1B_405/2022 du 18 août 2022 consid. 1). Pour le surplus, le recours est formé en temps utile ( art. 100 al. 1 LTF ) contre une décision rendue en dernière instance cantonale ( art. 80 LTF ) et les conclusions présentées sont recevables au regard de l' art. 107 LTF .</w:t>
      </w:r>
    </w:p>
    <w:p>
      <w:r>
        <w:rPr>
          <w:b/>
        </w:rPr>
        <w:t>E. 1.2</w:t>
      </w:r>
    </w:p>
    <w:p>
      <w:r>
        <w:t>Les pièces produites par le recourant le 1</w:t>
      </w:r>
    </w:p>
    <w:p>
      <w:r>
        <w:t>er septembre 2022 sont ultérieures à l'arrêt attaqué et, par conséquent, irrecevables (cf. art. 99 al. 1 LTF ). Il en va de même de son courrier, lequel n'est ni daté, ni signé; le recourant ne prétend en tout état de cause pas que cette pièce figurait au dossier cantonal ou aurait été produite à l'appui de son recours cantonal.</w:t>
      </w:r>
    </w:p>
    <w:p>
      <w:r>
        <w:rPr>
          <w:b/>
        </w:rPr>
        <w:t>E. 1.3</w:t>
      </w:r>
    </w:p>
    <w:p>
      <w:r>
        <w:t>Partant dans la mesure susmentionnée, il y a lieu d'entrer en matière.</w:t>
      </w:r>
    </w:p>
    <w:p>
      <w:r>
        <w:rPr>
          <w:b/>
        </w:rPr>
        <w:t>E. 2</w:t>
      </w:r>
    </w:p>
    <w:p>
      <w:r>
        <w:t>Le recourant ne conteste pas l'existence de charges suffisantes pesant à son encontre. Il ne se plaint pas non plus de la durée de la détention provisoire subie eu égard à la peine concrètement encourue.</w:t>
      </w:r>
    </w:p>
    <w:p>
      <w:r>
        <w:t>Il reproche en revanche à l'autorité précédente d'avoir considéré qu'il existait un risque de fuite. Il fait valoir à cet égard l'importance de ses liens - personnels et professionnels - avec la Suisse, ainsi que son jeune âge. Le recourant fait également grief à la cour cantonale d'avoir écarté les mesures de substitution proposées (port d'un bracelet électronique, assignation à résidence durant son temps libre, dépôt de ses papiers d'identité, versement d'une caution de 40'000 fr.).</w:t>
      </w:r>
    </w:p>
    <w:p>
      <w:r>
        <w:rPr>
          <w:b/>
        </w:rPr>
        <w:t>E. 2.1</w:t>
      </w:r>
    </w:p>
    <w:p>
      <w:r>
        <w:t>Conformément à l' art. 221 al. 1 let. a CPP , la détention provisoire ou pour des motifs de sûreté peut être ordonnée s'il y a sérieusement lieu de craindre que le prévenu se soustraie à la procédure pénale ou à la sanction prévisible en prenant la fuite.</w:t>
      </w:r>
    </w:p>
    <w:p>
      <w:r>
        <w:t>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Si cela ne dispense pas de tenir compte de l'ensemble des circonstances pertinentes, la jurisprudence admet que lorsque le prévenu a été condamné en première instance à une peine importante, le risque d'un long séjour en prison apparaît plus concret que durant l'instruction ( ATF 145 IV 503 consid. 2.2 p. 507).</w:t>
      </w:r>
    </w:p>
    <w:p>
      <w:r>
        <w:rPr>
          <w:b/>
        </w:rPr>
        <w:t>E. 2.2</w:t>
      </w:r>
    </w:p>
    <w:p>
      <w:r>
        <w:t>En l'espèce, le recourant peut certes se prévaloir de certains liens avec la Suisse, pays où il est né, où il a grandi et où résident ses parents. Cela étant, si le recourant fait état d'amis d'enfance pour démontrer son attachement en Suisse, il ne donne aucune information sur ceux-ci, notamment afin de démontrer qu'ils n'auraient aucun rapport avec les personnes faisant l'objet de la procédure pénale en cours à son encontre. Le recourant ne se prévaut pas non plus d'une relation particulière sur le plan sentimental, notamment avec l'amie citée par la cour cantonale. A ces éléments, s'ajoutent les liens importants du recourant avec son pays d'origine, lequel n'extrade pas ses ressortissants : le recourant s'y rend ainsi régulièrement pour des vacances; ses parents y possèdent une maison; et des autres membres de sa famille - dont sa grand-mère - y résident. Dans ce pays, le recourant ne se retrouverait ainsi pas dans un environnement inconnu, y disposant d'un lieu de résidence, ainsi que de proches pouvant lui apporter de l'assistance, notamment pour s'installer et trouver un emploi. On ne voit d'ailleurs pas ce qui empêcherait ses parents de le soutenir financièrement à cet endroit, respectivement en quoi son jeune âge constituerait une difficulté pour se déplacer et/ou commencer une nouvelle vie à l'étranger. Au vu de ces circonstances et de la possible longue peine privative de liberté encourue en raison des graves chefs de prévention retenus à son encontre - perspective pouvant apparaître d'autant plus concrète que le recourant se trouve maintenant en détention pour des motifs de sûreté -, l'hypothèse d'un travail en Suisse en cas de libération - serait-elle en outre toujours d'actualité vu le défaut de signature sur la seconde attestation présentée (cf. p. 6 de l'arrêt attaqué) - ne suffit pas à elle seule pour exclure que le recourant ne puisse être tenté de se soustraire à la procédure pénale en partant pour l'étranger et/ou en passant dans la clandestinité.</w:t>
      </w:r>
    </w:p>
    <w:p>
      <w:r>
        <w:t>Partant, la Chambre pénale des recours pouvait, sans violer le droit fédéral, retenir l'existence d'un risque de fuite.</w:t>
      </w:r>
    </w:p>
    <w:p>
      <w:r>
        <w:rPr>
          <w:b/>
        </w:rPr>
        <w:t>E. 2.3</w:t>
      </w:r>
    </w:p>
    <w:p>
      <w:r>
        <w:t>Conformément au principe de la proportionnalité ancré à l' art. 36 al. 3 Cst. , il convient aussi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et/ou l'interdiction d'entretenir des relations avec certaines personnes (let. g). Cette liste est exemplative et le juge de la détention peut également, le cas échéant, assortir les mesures de substitution de toute condition propre à en garantir l'efficacité ( ATF 145 IV 503 consid. 3.1 p. 510). Pour surveiller l'exécution de ces mesures, le tribunal peut ordonner l'utilisation d'appareils techniques qui peuvent être fixés à la personne sous surveillance ( art. 237 al. 3 CPP ).</w:t>
      </w:r>
    </w:p>
    <w:p>
      <w:r>
        <w:t>A teneur de l' art. 238 CPP , s'il y a danger de fuite, le tribunal peut astreindre le prévenu au versement d'une somme d'argent afin de garantir qu'il se présentera aux actes de procédure et qu'il se soumettra à l'exécution d'une sanction privative de liberté (al. 1); le montant des sûretés dépend de la gravité des actes reprochés au prévenu et de sa situation personnelle (al. 2); les sûretés peuvent consister en un dépôt d'espèces ou en une garantie fournie par une banque ou une assurance établie en Suisse (al. 3).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(cf. ATF 105 Ia 186 consid. 4a p. 187). Il convient également de faire preuve de prudence quant à l'origine des fonds proposés comme sûretés (arrêts 1B_220/2020 du 26 mai 2020 consid. 5.1; 1B_508/2018 du 4 décembre 2018 consid. 3.2.1).</w:t>
      </w:r>
    </w:p>
    <w:p>
      <w:r>
        <w:t>A cet égard, le recourant part tout d'abord de la prémisse erronée que le risque de fuite existant en l'occurrence serait "faible et abstrait"; au vu des liens très importants du recourant avec son pays d'origine (cf. les considérations émises au consid. 2.2 ci-dessus), des graves chefs de prévention examinés à son encontre et de la lourde peine privative de liberté encourue, tel n'est manifestement pas le cas. La cour cantonale a dès lors écarté, à juste titre, les mesures de substitution proposées par le recourant, lesquelles n'empêcheraient pas une personne de s'enfuir à l'étranger ou de passer dans la clandestinité, notamment par la voie terrestre : en particulier, une surveillance électronique ne permet qu'un contrôle a posteriori ( ATF 145 IV 503 consid. 3.3 p. 510 ss); la saisie de documents d'identité émis par un État étranger n'offre en outre aucune garantie quant au risque de fuite (cf. arrêt 1B_383/2020 du 13 août 2020 consid. 5.2); tel est également le cas des mesures proposées ne reposant que sur la seule volonté du recourant de s'y soumettre (cf. p. 7 de l'arrêt attaqué). Le recourant ne fait au demeurant état d'aucun élément qui permettrait de remettre en cause ce raisonnement.</w:t>
      </w:r>
    </w:p>
    <w:p>
      <w:r>
        <w:t>Quant aux sûretés proposées, la cour cantonale a notamment considéré que le montant proposé - 40'000 fr. - ne serait nullement dissuasif eu égard à la lourde peine privative de liberté encourue, aux frais considérables de la procédure et aux importantes indemnités qui pourraient être allouées aux parties plaignantes à la charge, en partie, du recourant en cas de condamnation (cf. p. 7 s. de l'arrêt attaqué). Cette appréciation ne prête pas le flanc à la critique et le recourant ne développe d'ailleurs aucune argumentation à cet égard. Il est également incontesté qu'à ce jour, les fonds proposés pour payer d'éventuelles sûretés seraient avancés par des tiers (cf. les avis bancaires de versement sur le compte du mandataire du recourant), cela indépendamment d'une éventuelle obligation de remboursement convenues entre ceux-ci et les parents du recourant. Or, l'éventuel lien familial avancé pour justifier leur assistance n'apporte aucune information quant à la situation financière de ces tiers - le recourant se limitant à invoquer celle a priori difficile de ses parents -, respectivement sur l'origine de ces fonds; il en va a fortiori de même pour ceux qui pourraient être obtenus si le montant des sûretés devait être augmenté, ainsi que le propose le recourant.</w:t>
      </w:r>
    </w:p>
    <w:p>
      <w:r>
        <w:t>Sur le vu de ces considérations, l'autorité précédente pouvait, à juste titre, écarter les mesures de substitution et les sûretés proposées, celles-ci étant insuffisantes pour pallier l'important danger de fuite existant.</w:t>
      </w:r>
    </w:p>
    <w:p>
      <w:r>
        <w:rPr>
          <w:b/>
        </w:rPr>
        <w:t>E. 2.4</w:t>
      </w:r>
    </w:p>
    <w:p>
      <w:r>
        <w:t>La Chambre pénale des recours n'a ainsi pas violé le droit fédéral en confirmant le rejet de la demande de mise en liberté prononcé par le Tmc.</w:t>
      </w:r>
    </w:p>
    <w:p>
      <w:r>
        <w:rPr>
          <w:b/>
        </w:rPr>
        <w:t>E. 3</w:t>
      </w:r>
    </w:p>
    <w:p>
      <w:r>
        <w:t>Il s'ensuit que le recours est rejeté dans la mesure où il est recevable.</w:t>
      </w:r>
    </w:p>
    <w:p>
      <w:r>
        <w:t>Le recourant, qui succombe, supporte les frais judiciaires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