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1B_431/2016 vom 25. November 2016</w:t>
      </w:r>
    </w:p>
    <w:p>
      <w:r>
        <w:t>Bundesgericht, 2016-11-25, FR</w:t>
      </w:r>
    </w:p>
    <w:p>
      <w:r>
        <w:rPr>
          <w:b/>
        </w:rPr>
        <w:t xml:space="preserve">Quelle: </w:t>
      </w:r>
      <w:r>
        <w:t>https://mcp.opencaselaw.ch/entscheid/bger_1B_431_2016</w:t>
      </w:r>
    </w:p>
    <w:p>
      <w:r>
        <w:t>FR: TF 1B_431/2016 du 25 novembre 2016</w:t>
      </w:r>
    </w:p>
    <w:p>
      <w:r>
        <w:t>IT: TF 1B_431/2016 del 25 novembre 2016</w:t>
      </w:r>
    </w:p>
    <w:p>
      <w:pPr>
        <w:pStyle w:val="Heading2"/>
      </w:pPr>
      <w:r>
        <w:t>Erwägungen</w:t>
      </w:r>
    </w:p>
    <w:p>
      <w:r>
        <w:rPr>
          <w:b/>
        </w:rPr>
        <w:t>E. 1</w:t>
      </w:r>
    </w:p>
    <w:p>
      <w:r>
        <w:t>Conformément aux art. 78 et 92 al. 1 de la loi sur le Tribunal fédéral (LTF RS 173.110), les décisions incidentes de dernière instance cantonale portant sur le refus de désigner un nouvel expert dans une cause pénale peuvent immédiatement faire l'objet d'un recours en matière pénale (arrêt 1B_362/2015 du 10 décembre 2015). Le recourant, auteur de la demande de désignation d'un nouvel expert, a qualité pour agir selon l' art. 81 al. 1 LTF .</w:t>
      </w:r>
    </w:p>
    <w:p>
      <w:r>
        <w:rPr>
          <w:b/>
        </w:rPr>
        <w:t>E. 2</w:t>
      </w:r>
    </w:p>
    <w:p>
      <w:r>
        <w:t>Selon l' art. 42 al. 1 LTF , les mémoires de recours doivent être motivés. Les motifs doivent exposer succinctement en quoi l'acte attaqué viole le droit ( art. 42 al. 2 LTF ). Pour satisfaire à cette exigence, il appartient au recourant de discuter au moins brièvement les considérants de la décision litigieuse ( ATF 134 II 244 consid. 2.1 p. 245). Lorsque la décision attaquée repose sur plusieurs motifs indépendants, il doit sous peine d'irrecevabilité démontrer que chacun d'eux est contraire au droit en se conformant aux exigences de motivation requises ( ATF 138 I 97 consid. 4.1.4 p. 100).</w:t>
      </w:r>
    </w:p>
    <w:p>
      <w:r>
        <w:rPr>
          <w:b/>
        </w:rPr>
        <w:t>E. 2.1</w:t>
      </w:r>
    </w:p>
    <w:p>
      <w:r>
        <w:t>En l'occurrence, l'arrêt attaqué repose sur trois motifs distincts. En premier lieu, le recours est déclaré irrecevable car portant sur les modalités de mise en oeuvre de l'expertise et donc sur l'administration des preuves au sens de l' art. 394 let. b CPP . En second lieu, le refus de nommer un nouvel expert a été confirmé sur le fond. Enfin, à le considérer comme une demande de récusation de l'expert, celle-ci serait tardive.</w:t>
      </w:r>
    </w:p>
    <w:p>
      <w:r>
        <w:rPr>
          <w:b/>
        </w:rPr>
        <w:t>E. 2.2</w:t>
      </w:r>
    </w:p>
    <w:p>
      <w:r>
        <w:t>A l'encontre du premier motif, le recourant se contente de relever que la contestation ne portait pas sur l'administration des preuves, mais sur une récusation d'expert. Il estime toutefois qu'il n'y a "pas lieu de s'attarder sur cette déclaration d'irrecevabilité puisque le Tribunal cantonal, certainement parfaitement conscient du contraire, entre en matière immédiatement sur le fond en affirmant que même recevable le recours ne pourrait qu'être rejeté". Il n'en demeure pas moins que la cour cantonale a, principalement, déclaré le recours irrecevable en application de l' art. 394 let. b CPP . Or, on cherche en vain dans le recourant en quoi il serait erroné d'appliquer cette disposition lorsque le choix de l'expert n'est pas contesté pour des motifs ayant trait à la récusation proprement dite ( art. 56 CPP , applicable à l'expert en vertu de l' art. 183 al. 3 CPP ), mais pour d'autres raisons tenant à la formation, l'expérience et la responsabilité de l'expert. Le recours ne contient dès lors aucune motivation suffisante à l'encontre de l'irrecevabilité du recours cantonal. Un certain formalisme se justifie d'autant plus dans le cas particulier que le recourant est assisté d'un mandataire professionnel dont on peut attendre qu'il connaisse les exigences de motivation découlant de la loi sur le Tribunal fédéral (arrêt 1B_378/2015 du 2 novembre 2015 consid. 2.2).</w:t>
      </w:r>
    </w:p>
    <w:p>
      <w:r>
        <w:rPr>
          <w:b/>
        </w:rPr>
        <w:t>E. 2.3</w:t>
      </w:r>
    </w:p>
    <w:p>
      <w:r>
        <w:t>Le recours n'apparaît d'ailleurs pas mieux motivé sur le fond. Le recourant se contente en effet de reprendre ses critiques à l'égard de l'expert. Or, le Tribunal cantonal a écarté les objections relatives à son expérience dans le domaine de l'expertise pénale en relevant qu'il était médecin-psychiatre actif, qu'il avait rendu 18 expertises psychiatriques pour le compte du Ministère public valaisan d'avril à décembre 2015, ainsi que de très nombreuses expertises en France dont on ne pouvait toutefois rien déduire dès lors que l'on ignorait les exigences posées par la législation française en la matière. L'intéressé remplissait les conditions posées par la jurisprudence, l'exigence d'une expérience</w:t>
      </w:r>
    </w:p>
    <w:p>
      <w:r>
        <w:t>particulière étant réservée aux cas d'internement à vie ( art. 64c al. 5 CP ). Le mandat avait été confié personnellement à l'expert, quand bien même il était associé dans un cabinet médico-psychologique.</w:t>
      </w:r>
    </w:p>
    <w:p>
      <w:r>
        <w:t>A l'encontre de cette argumentation, le recourant ne fait que reprendre ses griefs initiaux, sans apporter d'éléments supplémentaires. Il s'agit d'une démarche appellatoire, irrecevable au regard des exigences posées à l' art. 42 al. 2 LTF .</w:t>
      </w:r>
    </w:p>
    <w:p>
      <w:r>
        <w:rPr>
          <w:b/>
        </w:rPr>
        <w:t>E. 3</w:t>
      </w:r>
    </w:p>
    <w:p>
      <w:r>
        <w:t>En définitive, sur deux des trois motifs indépendants ayant conduit au prononcé attaqué, le recourant ne présente pas d'argumentation suffisante.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